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48B" w:rsidRPr="00A445F7" w:rsidRDefault="0078548B" w:rsidP="00A445F7">
      <w:pPr>
        <w:spacing w:after="0"/>
        <w:jc w:val="center"/>
        <w:rPr>
          <w:rFonts w:ascii="Arial" w:eastAsia="Times New Roman" w:hAnsi="Arial" w:cs="Arial"/>
          <w:b/>
          <w:bCs/>
          <w:color w:val="000000"/>
          <w:sz w:val="18"/>
          <w:szCs w:val="18"/>
          <w:lang w:eastAsia="pt-BR"/>
        </w:rPr>
      </w:pPr>
      <w:bookmarkStart w:id="0" w:name="RANGE!A1:D26"/>
      <w:r w:rsidRPr="00A445F7">
        <w:rPr>
          <w:rFonts w:ascii="Arial" w:eastAsia="Times New Roman" w:hAnsi="Arial" w:cs="Arial"/>
          <w:b/>
          <w:bCs/>
          <w:color w:val="000000"/>
          <w:sz w:val="18"/>
          <w:szCs w:val="18"/>
          <w:lang w:eastAsia="pt-BR"/>
        </w:rPr>
        <w:t>ESTUDO DE FUNDAMENTAÇÃO DA COBRANÇA</w:t>
      </w:r>
      <w:bookmarkEnd w:id="0"/>
    </w:p>
    <w:p w:rsidR="0023553A" w:rsidRDefault="0023553A" w:rsidP="00A445F7">
      <w:pPr>
        <w:spacing w:after="0"/>
        <w:jc w:val="center"/>
        <w:rPr>
          <w:rFonts w:ascii="Arial" w:eastAsia="Times New Roman" w:hAnsi="Arial" w:cs="Arial"/>
          <w:b/>
          <w:bCs/>
          <w:color w:val="000000"/>
          <w:sz w:val="18"/>
          <w:szCs w:val="18"/>
          <w:lang w:eastAsia="pt-BR"/>
        </w:rPr>
      </w:pPr>
    </w:p>
    <w:p w:rsidR="00A445F7" w:rsidRPr="00A445F7" w:rsidRDefault="00A445F7" w:rsidP="00A445F7">
      <w:pPr>
        <w:spacing w:after="0"/>
        <w:jc w:val="center"/>
        <w:rPr>
          <w:rFonts w:ascii="Arial" w:eastAsia="Times New Roman" w:hAnsi="Arial" w:cs="Arial"/>
          <w:b/>
          <w:bCs/>
          <w:color w:val="000000"/>
          <w:sz w:val="18"/>
          <w:szCs w:val="18"/>
          <w:lang w:eastAsia="pt-BR"/>
        </w:rPr>
      </w:pPr>
    </w:p>
    <w:p w:rsidR="00A445F7" w:rsidRDefault="00153DF0" w:rsidP="00A445F7">
      <w:pPr>
        <w:spacing w:after="0"/>
        <w:jc w:val="both"/>
        <w:rPr>
          <w:rFonts w:ascii="Arial" w:eastAsia="Times New Roman" w:hAnsi="Arial" w:cs="Arial"/>
          <w:color w:val="000000"/>
          <w:sz w:val="18"/>
          <w:szCs w:val="18"/>
          <w:lang w:eastAsia="pt-BR"/>
        </w:rPr>
      </w:pPr>
      <w:r w:rsidRPr="00F236BE">
        <w:rPr>
          <w:rFonts w:ascii="Arial" w:eastAsia="Times New Roman" w:hAnsi="Arial" w:cs="Arial"/>
          <w:b/>
          <w:color w:val="000000"/>
          <w:sz w:val="18"/>
          <w:szCs w:val="18"/>
          <w:lang w:eastAsia="pt-BR"/>
        </w:rPr>
        <w:t>Identificação do CBH:</w:t>
      </w:r>
      <w:r>
        <w:rPr>
          <w:rFonts w:ascii="Arial" w:eastAsia="Times New Roman" w:hAnsi="Arial" w:cs="Arial"/>
          <w:color w:val="000000"/>
          <w:sz w:val="18"/>
          <w:szCs w:val="18"/>
          <w:lang w:eastAsia="pt-BR"/>
        </w:rPr>
        <w:t xml:space="preserve"> SJD</w:t>
      </w:r>
    </w:p>
    <w:p w:rsidR="00A445F7" w:rsidRDefault="0078548B" w:rsidP="00A445F7">
      <w:pPr>
        <w:spacing w:after="0"/>
        <w:jc w:val="both"/>
        <w:rPr>
          <w:rFonts w:ascii="Arial" w:eastAsia="Times New Roman" w:hAnsi="Arial" w:cs="Arial"/>
          <w:color w:val="000000"/>
          <w:sz w:val="18"/>
          <w:szCs w:val="18"/>
          <w:lang w:eastAsia="pt-BR"/>
        </w:rPr>
      </w:pPr>
      <w:r w:rsidRPr="00F236BE">
        <w:rPr>
          <w:rFonts w:ascii="Arial" w:eastAsia="Times New Roman" w:hAnsi="Arial" w:cs="Arial"/>
          <w:b/>
          <w:color w:val="000000"/>
          <w:sz w:val="18"/>
          <w:szCs w:val="18"/>
          <w:lang w:eastAsia="pt-BR"/>
        </w:rPr>
        <w:t>Data:</w:t>
      </w:r>
      <w:r w:rsidR="00A445F7">
        <w:rPr>
          <w:rFonts w:ascii="Arial" w:eastAsia="Times New Roman" w:hAnsi="Arial" w:cs="Arial"/>
          <w:color w:val="000000"/>
          <w:sz w:val="18"/>
          <w:szCs w:val="18"/>
          <w:lang w:eastAsia="pt-BR"/>
        </w:rPr>
        <w:t xml:space="preserve"> </w:t>
      </w:r>
      <w:r w:rsidR="007533D8">
        <w:rPr>
          <w:rFonts w:ascii="Arial" w:eastAsia="Times New Roman" w:hAnsi="Arial" w:cs="Arial"/>
          <w:color w:val="000000"/>
          <w:sz w:val="18"/>
          <w:szCs w:val="18"/>
          <w:lang w:eastAsia="pt-BR"/>
        </w:rPr>
        <w:t>novembro/2016 (</w:t>
      </w:r>
      <w:r w:rsidR="00990C96">
        <w:rPr>
          <w:rFonts w:ascii="Arial" w:eastAsia="Times New Roman" w:hAnsi="Arial" w:cs="Arial"/>
          <w:color w:val="000000"/>
          <w:sz w:val="18"/>
          <w:szCs w:val="18"/>
          <w:lang w:eastAsia="pt-BR"/>
        </w:rPr>
        <w:t>material</w:t>
      </w:r>
      <w:r w:rsidR="007533D8">
        <w:rPr>
          <w:rFonts w:ascii="Arial" w:eastAsia="Times New Roman" w:hAnsi="Arial" w:cs="Arial"/>
          <w:color w:val="000000"/>
          <w:sz w:val="18"/>
          <w:szCs w:val="18"/>
          <w:lang w:eastAsia="pt-BR"/>
        </w:rPr>
        <w:t xml:space="preserve"> recebido em junho/2016)</w:t>
      </w:r>
    </w:p>
    <w:p w:rsidR="0023553A" w:rsidRPr="00A445F7" w:rsidRDefault="0023553A" w:rsidP="00A445F7">
      <w:pPr>
        <w:spacing w:after="0"/>
        <w:jc w:val="center"/>
        <w:rPr>
          <w:rFonts w:ascii="Arial" w:eastAsia="Times New Roman" w:hAnsi="Arial" w:cs="Arial"/>
          <w:b/>
          <w:bCs/>
          <w:color w:val="000000"/>
          <w:sz w:val="18"/>
          <w:szCs w:val="18"/>
          <w:lang w:eastAsia="pt-BR"/>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70"/>
        <w:gridCol w:w="1635"/>
        <w:gridCol w:w="9233"/>
      </w:tblGrid>
      <w:tr w:rsidR="00395CE1" w:rsidRPr="00A445F7" w:rsidTr="00D038AB">
        <w:trPr>
          <w:cantSplit/>
          <w:trHeight w:val="400"/>
          <w:tblHeader/>
        </w:trPr>
        <w:tc>
          <w:tcPr>
            <w:tcW w:w="1503" w:type="pct"/>
            <w:vMerge w:val="restart"/>
            <w:shd w:val="clear" w:color="000000" w:fill="FFFFFF"/>
            <w:noWrap/>
            <w:vAlign w:val="center"/>
            <w:hideMark/>
          </w:tcPr>
          <w:p w:rsidR="00395CE1" w:rsidRPr="00A445F7" w:rsidRDefault="00395CE1" w:rsidP="00D038AB">
            <w:pPr>
              <w:spacing w:after="0"/>
              <w:jc w:val="center"/>
              <w:rPr>
                <w:rFonts w:ascii="Arial" w:eastAsia="Times New Roman" w:hAnsi="Arial" w:cs="Arial"/>
                <w:color w:val="000000"/>
                <w:sz w:val="18"/>
                <w:szCs w:val="18"/>
                <w:lang w:eastAsia="pt-BR"/>
              </w:rPr>
            </w:pPr>
            <w:r w:rsidRPr="00A445F7">
              <w:rPr>
                <w:rFonts w:ascii="Arial" w:eastAsia="Times New Roman" w:hAnsi="Arial" w:cs="Arial"/>
                <w:b/>
                <w:bCs/>
                <w:color w:val="000000"/>
                <w:sz w:val="18"/>
                <w:szCs w:val="18"/>
                <w:lang w:eastAsia="pt-BR"/>
              </w:rPr>
              <w:t>Conteúdos (Deliberação CRH nº 111</w:t>
            </w:r>
            <w:r w:rsidR="004043E7" w:rsidRPr="00A445F7">
              <w:rPr>
                <w:rFonts w:ascii="Arial" w:eastAsia="Times New Roman" w:hAnsi="Arial" w:cs="Arial"/>
                <w:b/>
                <w:bCs/>
                <w:color w:val="000000"/>
                <w:sz w:val="18"/>
                <w:szCs w:val="18"/>
                <w:lang w:eastAsia="pt-BR"/>
              </w:rPr>
              <w:t>/09</w:t>
            </w:r>
            <w:r w:rsidRPr="00A445F7">
              <w:rPr>
                <w:rFonts w:ascii="Arial" w:eastAsia="Times New Roman" w:hAnsi="Arial" w:cs="Arial"/>
                <w:b/>
                <w:bCs/>
                <w:color w:val="000000"/>
                <w:sz w:val="18"/>
                <w:szCs w:val="18"/>
                <w:lang w:eastAsia="pt-BR"/>
              </w:rPr>
              <w:t>)</w:t>
            </w:r>
          </w:p>
        </w:tc>
        <w:tc>
          <w:tcPr>
            <w:tcW w:w="3497" w:type="pct"/>
            <w:gridSpan w:val="2"/>
            <w:shd w:val="clear" w:color="000000" w:fill="FFFFFF"/>
            <w:noWrap/>
            <w:vAlign w:val="center"/>
            <w:hideMark/>
          </w:tcPr>
          <w:p w:rsidR="00395CE1" w:rsidRPr="00A445F7" w:rsidRDefault="00395CE1" w:rsidP="00D038AB">
            <w:pPr>
              <w:spacing w:after="0"/>
              <w:jc w:val="center"/>
              <w:rPr>
                <w:rFonts w:ascii="Arial" w:eastAsia="Times New Roman" w:hAnsi="Arial" w:cs="Arial"/>
                <w:b/>
                <w:bCs/>
                <w:color w:val="000000"/>
                <w:sz w:val="18"/>
                <w:szCs w:val="18"/>
                <w:lang w:eastAsia="pt-BR"/>
              </w:rPr>
            </w:pPr>
            <w:r w:rsidRPr="00A445F7">
              <w:rPr>
                <w:rFonts w:ascii="Arial" w:eastAsia="Times New Roman" w:hAnsi="Arial" w:cs="Arial"/>
                <w:b/>
                <w:bCs/>
                <w:color w:val="000000"/>
                <w:sz w:val="18"/>
                <w:szCs w:val="18"/>
                <w:lang w:eastAsia="pt-BR"/>
              </w:rPr>
              <w:t>Critério de Avaliação</w:t>
            </w:r>
          </w:p>
        </w:tc>
      </w:tr>
      <w:tr w:rsidR="00395CE1" w:rsidRPr="00A445F7" w:rsidTr="00D038AB">
        <w:trPr>
          <w:cantSplit/>
          <w:trHeight w:val="20"/>
          <w:tblHeader/>
        </w:trPr>
        <w:tc>
          <w:tcPr>
            <w:tcW w:w="1503" w:type="pct"/>
            <w:vMerge/>
            <w:shd w:val="clear" w:color="auto" w:fill="auto"/>
            <w:noWrap/>
            <w:vAlign w:val="bottom"/>
            <w:hideMark/>
          </w:tcPr>
          <w:p w:rsidR="00395CE1" w:rsidRPr="00A445F7" w:rsidRDefault="00395CE1" w:rsidP="00D038AB">
            <w:pPr>
              <w:spacing w:after="0"/>
              <w:rPr>
                <w:rFonts w:ascii="Arial" w:eastAsia="Times New Roman" w:hAnsi="Arial" w:cs="Arial"/>
                <w:sz w:val="18"/>
                <w:szCs w:val="18"/>
                <w:lang w:eastAsia="pt-BR"/>
              </w:rPr>
            </w:pPr>
          </w:p>
        </w:tc>
        <w:tc>
          <w:tcPr>
            <w:tcW w:w="526" w:type="pct"/>
            <w:shd w:val="clear" w:color="000000" w:fill="FFFFFF"/>
            <w:vAlign w:val="center"/>
            <w:hideMark/>
          </w:tcPr>
          <w:p w:rsidR="00395CE1" w:rsidRPr="00A445F7" w:rsidRDefault="00395CE1" w:rsidP="00D038AB">
            <w:pPr>
              <w:spacing w:after="0"/>
              <w:jc w:val="center"/>
              <w:rPr>
                <w:rFonts w:ascii="Arial" w:eastAsia="Times New Roman" w:hAnsi="Arial" w:cs="Arial"/>
                <w:b/>
                <w:bCs/>
                <w:color w:val="000000"/>
                <w:sz w:val="18"/>
                <w:szCs w:val="18"/>
                <w:lang w:eastAsia="pt-BR"/>
              </w:rPr>
            </w:pPr>
            <w:r w:rsidRPr="00A445F7">
              <w:rPr>
                <w:rFonts w:ascii="Arial" w:eastAsia="Times New Roman" w:hAnsi="Arial" w:cs="Arial"/>
                <w:b/>
                <w:bCs/>
                <w:color w:val="000000"/>
                <w:sz w:val="18"/>
                <w:szCs w:val="18"/>
                <w:lang w:eastAsia="pt-BR"/>
              </w:rPr>
              <w:t>A informação foi apresentada? (Sim/Parcial/Não)</w:t>
            </w:r>
          </w:p>
        </w:tc>
        <w:tc>
          <w:tcPr>
            <w:tcW w:w="2971" w:type="pct"/>
            <w:shd w:val="clear" w:color="000000" w:fill="FFFFFF"/>
            <w:vAlign w:val="center"/>
            <w:hideMark/>
          </w:tcPr>
          <w:p w:rsidR="00395CE1" w:rsidRPr="00A445F7" w:rsidRDefault="00395CE1" w:rsidP="00D038AB">
            <w:pPr>
              <w:spacing w:after="0"/>
              <w:jc w:val="center"/>
              <w:rPr>
                <w:rFonts w:ascii="Arial" w:eastAsia="Times New Roman" w:hAnsi="Arial" w:cs="Arial"/>
                <w:b/>
                <w:bCs/>
                <w:color w:val="000000"/>
                <w:sz w:val="18"/>
                <w:szCs w:val="18"/>
                <w:lang w:eastAsia="pt-BR"/>
              </w:rPr>
            </w:pPr>
            <w:r w:rsidRPr="00A445F7">
              <w:rPr>
                <w:rFonts w:ascii="Arial" w:eastAsia="Times New Roman" w:hAnsi="Arial" w:cs="Arial"/>
                <w:b/>
                <w:bCs/>
                <w:color w:val="000000"/>
                <w:sz w:val="18"/>
                <w:szCs w:val="18"/>
                <w:lang w:eastAsia="pt-BR"/>
              </w:rPr>
              <w:t xml:space="preserve">Caso a resposta seja Parcial ou Não, </w:t>
            </w:r>
            <w:r w:rsidRPr="00A445F7">
              <w:rPr>
                <w:rFonts w:ascii="Arial" w:eastAsia="Times New Roman" w:hAnsi="Arial" w:cs="Arial"/>
                <w:b/>
                <w:bCs/>
                <w:color w:val="000000"/>
                <w:sz w:val="18"/>
                <w:szCs w:val="18"/>
                <w:u w:val="single"/>
                <w:lang w:eastAsia="pt-BR"/>
              </w:rPr>
              <w:t>comentar:</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I. Plano de Bacia aprovado e atualizado, em conformidade com a Deliberação CRH n° 62.</w:t>
            </w:r>
          </w:p>
        </w:tc>
        <w:tc>
          <w:tcPr>
            <w:tcW w:w="526" w:type="pct"/>
            <w:shd w:val="clear" w:color="auto" w:fill="auto"/>
            <w:noWrap/>
            <w:vAlign w:val="center"/>
          </w:tcPr>
          <w:p w:rsidR="0078548B" w:rsidRPr="00A445F7" w:rsidRDefault="0037413A"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Sim</w:t>
            </w:r>
          </w:p>
        </w:tc>
        <w:tc>
          <w:tcPr>
            <w:tcW w:w="2971" w:type="pct"/>
            <w:shd w:val="clear" w:color="auto" w:fill="auto"/>
            <w:vAlign w:val="center"/>
          </w:tcPr>
          <w:p w:rsidR="0078548B" w:rsidRPr="00457F96" w:rsidRDefault="00457F96" w:rsidP="00D038AB">
            <w:pPr>
              <w:pStyle w:val="PargrafodaLista"/>
              <w:numPr>
                <w:ilvl w:val="0"/>
                <w:numId w:val="4"/>
              </w:numPr>
              <w:spacing w:after="0"/>
              <w:ind w:left="216" w:hanging="216"/>
              <w:jc w:val="both"/>
              <w:rPr>
                <w:rFonts w:ascii="Arial" w:eastAsia="Times New Roman" w:hAnsi="Arial" w:cs="Arial"/>
                <w:color w:val="000000"/>
                <w:sz w:val="18"/>
                <w:szCs w:val="18"/>
                <w:lang w:eastAsia="pt-BR"/>
              </w:rPr>
            </w:pPr>
            <w:r w:rsidRPr="00457F96">
              <w:rPr>
                <w:rFonts w:ascii="Arial" w:hAnsi="Arial" w:cs="Arial"/>
                <w:sz w:val="18"/>
                <w:szCs w:val="20"/>
              </w:rPr>
              <w:t>Rever os textos das pág</w:t>
            </w:r>
            <w:r w:rsidR="004E5381">
              <w:rPr>
                <w:rFonts w:ascii="Arial" w:hAnsi="Arial" w:cs="Arial"/>
                <w:sz w:val="18"/>
                <w:szCs w:val="20"/>
              </w:rPr>
              <w:t>s</w:t>
            </w:r>
            <w:r w:rsidRPr="00457F96">
              <w:rPr>
                <w:rFonts w:ascii="Arial" w:hAnsi="Arial" w:cs="Arial"/>
                <w:sz w:val="18"/>
                <w:szCs w:val="20"/>
              </w:rPr>
              <w:t>. 19 e 190 do Estudo: nestas págs. consta que o Plano de Bacia aprovado em 2015 foi elaborado de ac</w:t>
            </w:r>
            <w:r>
              <w:rPr>
                <w:rFonts w:ascii="Arial" w:hAnsi="Arial" w:cs="Arial"/>
                <w:sz w:val="18"/>
                <w:szCs w:val="20"/>
              </w:rPr>
              <w:t>ordo com a Deliberação CRH nº</w:t>
            </w:r>
            <w:r w:rsidRPr="00457F96">
              <w:rPr>
                <w:rFonts w:ascii="Arial" w:hAnsi="Arial" w:cs="Arial"/>
                <w:sz w:val="18"/>
                <w:szCs w:val="20"/>
              </w:rPr>
              <w:t xml:space="preserve"> 62/2006, só que a Deliberação CRH vigente para Plano de Bacia é a 146/2012 (q</w:t>
            </w:r>
            <w:r>
              <w:rPr>
                <w:rFonts w:ascii="Arial" w:hAnsi="Arial" w:cs="Arial"/>
                <w:sz w:val="18"/>
                <w:szCs w:val="20"/>
              </w:rPr>
              <w:t>ue revogou a</w:t>
            </w:r>
            <w:r w:rsidRPr="00457F96">
              <w:rPr>
                <w:rFonts w:ascii="Arial" w:hAnsi="Arial" w:cs="Arial"/>
                <w:sz w:val="18"/>
                <w:szCs w:val="20"/>
              </w:rPr>
              <w:t xml:space="preserve"> </w:t>
            </w:r>
            <w:proofErr w:type="spellStart"/>
            <w:r w:rsidRPr="00457F96">
              <w:rPr>
                <w:rFonts w:ascii="Arial" w:hAnsi="Arial" w:cs="Arial"/>
                <w:sz w:val="18"/>
                <w:szCs w:val="20"/>
              </w:rPr>
              <w:t>Delib</w:t>
            </w:r>
            <w:proofErr w:type="spellEnd"/>
            <w:r w:rsidRPr="00457F96">
              <w:rPr>
                <w:rFonts w:ascii="Arial" w:hAnsi="Arial" w:cs="Arial"/>
                <w:sz w:val="18"/>
                <w:szCs w:val="20"/>
              </w:rPr>
              <w:t xml:space="preserve">. CRH nº 62). Na Deliberação do CBH-SJD que aprovou </w:t>
            </w:r>
            <w:r>
              <w:rPr>
                <w:rFonts w:ascii="Arial" w:hAnsi="Arial" w:cs="Arial"/>
                <w:sz w:val="18"/>
                <w:szCs w:val="20"/>
              </w:rPr>
              <w:t>o novo Plano de Bacia (</w:t>
            </w:r>
            <w:proofErr w:type="spellStart"/>
            <w:r>
              <w:rPr>
                <w:rFonts w:ascii="Arial" w:hAnsi="Arial" w:cs="Arial"/>
                <w:sz w:val="18"/>
                <w:szCs w:val="20"/>
              </w:rPr>
              <w:t>Delib</w:t>
            </w:r>
            <w:proofErr w:type="spellEnd"/>
            <w:r>
              <w:rPr>
                <w:rFonts w:ascii="Arial" w:hAnsi="Arial" w:cs="Arial"/>
                <w:sz w:val="18"/>
                <w:szCs w:val="20"/>
              </w:rPr>
              <w:t>.</w:t>
            </w:r>
            <w:r w:rsidRPr="00457F96">
              <w:rPr>
                <w:rFonts w:ascii="Arial" w:hAnsi="Arial" w:cs="Arial"/>
                <w:sz w:val="18"/>
                <w:szCs w:val="20"/>
              </w:rPr>
              <w:t xml:space="preserve"> CBH-SJD nº 166/2015) cita a </w:t>
            </w:r>
            <w:proofErr w:type="spellStart"/>
            <w:r w:rsidRPr="00457F96">
              <w:rPr>
                <w:rFonts w:ascii="Arial" w:hAnsi="Arial" w:cs="Arial"/>
                <w:sz w:val="18"/>
                <w:szCs w:val="20"/>
              </w:rPr>
              <w:t>Delib</w:t>
            </w:r>
            <w:proofErr w:type="spellEnd"/>
            <w:r w:rsidRPr="00457F96">
              <w:rPr>
                <w:rFonts w:ascii="Arial" w:hAnsi="Arial" w:cs="Arial"/>
                <w:sz w:val="18"/>
                <w:szCs w:val="20"/>
              </w:rPr>
              <w:t>. CRH nº 146.</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II. Indicação da efetivação do cadastro específico de usuários, nos termos do artigo 6° do Decreto n° 50.667.</w:t>
            </w:r>
          </w:p>
        </w:tc>
        <w:tc>
          <w:tcPr>
            <w:tcW w:w="526" w:type="pct"/>
            <w:shd w:val="clear" w:color="auto" w:fill="auto"/>
            <w:noWrap/>
            <w:vAlign w:val="center"/>
          </w:tcPr>
          <w:p w:rsidR="0078548B" w:rsidRPr="00A445F7" w:rsidRDefault="0037413A"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Não</w:t>
            </w:r>
          </w:p>
        </w:tc>
        <w:tc>
          <w:tcPr>
            <w:tcW w:w="2971" w:type="pct"/>
            <w:shd w:val="clear" w:color="000000" w:fill="FFFFFF"/>
            <w:vAlign w:val="center"/>
          </w:tcPr>
          <w:p w:rsidR="00E6401E" w:rsidRPr="00A9346F" w:rsidRDefault="0037413A" w:rsidP="00A9346F">
            <w:pPr>
              <w:pStyle w:val="PargrafodaLista"/>
              <w:numPr>
                <w:ilvl w:val="0"/>
                <w:numId w:val="4"/>
              </w:numPr>
              <w:spacing w:after="0"/>
              <w:ind w:left="216" w:hanging="216"/>
              <w:jc w:val="both"/>
              <w:rPr>
                <w:rFonts w:ascii="Arial" w:eastAsia="Times New Roman" w:hAnsi="Arial" w:cs="Arial"/>
                <w:sz w:val="18"/>
                <w:szCs w:val="18"/>
                <w:lang w:eastAsia="pt-BR"/>
              </w:rPr>
            </w:pPr>
            <w:r w:rsidRPr="0037413A">
              <w:rPr>
                <w:rFonts w:ascii="Arial" w:hAnsi="Arial" w:cs="Arial"/>
                <w:sz w:val="18"/>
                <w:szCs w:val="20"/>
              </w:rPr>
              <w:t xml:space="preserve">Apresentar </w:t>
            </w:r>
            <w:r w:rsidR="00A9346F">
              <w:rPr>
                <w:rFonts w:ascii="Arial" w:hAnsi="Arial" w:cs="Arial"/>
                <w:sz w:val="18"/>
                <w:szCs w:val="20"/>
              </w:rPr>
              <w:t>evidências e</w:t>
            </w:r>
            <w:r w:rsidRPr="0037413A">
              <w:rPr>
                <w:rFonts w:ascii="Arial" w:hAnsi="Arial" w:cs="Arial"/>
                <w:sz w:val="18"/>
                <w:szCs w:val="20"/>
              </w:rPr>
              <w:t xml:space="preserve"> resultado</w:t>
            </w:r>
            <w:r w:rsidR="00A9346F">
              <w:rPr>
                <w:rFonts w:ascii="Arial" w:hAnsi="Arial" w:cs="Arial"/>
                <w:sz w:val="18"/>
                <w:szCs w:val="20"/>
              </w:rPr>
              <w:t>s</w:t>
            </w:r>
            <w:r w:rsidRPr="0037413A">
              <w:rPr>
                <w:rFonts w:ascii="Arial" w:hAnsi="Arial" w:cs="Arial"/>
                <w:sz w:val="18"/>
                <w:szCs w:val="20"/>
              </w:rPr>
              <w:t xml:space="preserve"> do contrato de cadastro de usuários. Cita que foi contratada uma empresa para realizar o cadastro de usuários da cobrança, mas o resultado desse cadastro não foi mostrado. Verificar o número correto do contrato: na referência (pág. 196) cita contrato 10/2010 e na pág. 189 cita contrato 8/2010.</w:t>
            </w:r>
          </w:p>
        </w:tc>
      </w:tr>
      <w:tr w:rsidR="00395CE1" w:rsidRPr="00367C5F" w:rsidTr="00D038AB">
        <w:trPr>
          <w:trHeight w:val="20"/>
        </w:trPr>
        <w:tc>
          <w:tcPr>
            <w:tcW w:w="1503" w:type="pct"/>
            <w:shd w:val="clear" w:color="000000" w:fill="FFFFFF"/>
            <w:vAlign w:val="center"/>
            <w:hideMark/>
          </w:tcPr>
          <w:p w:rsidR="0078548B" w:rsidRPr="00367C5F" w:rsidRDefault="0078548B" w:rsidP="00D038AB">
            <w:pPr>
              <w:spacing w:after="0"/>
              <w:jc w:val="both"/>
              <w:rPr>
                <w:rFonts w:ascii="Arial" w:eastAsia="Times New Roman" w:hAnsi="Arial" w:cs="Arial"/>
                <w:color w:val="000000"/>
                <w:sz w:val="18"/>
                <w:szCs w:val="18"/>
                <w:lang w:eastAsia="pt-BR"/>
              </w:rPr>
            </w:pPr>
            <w:r w:rsidRPr="00367C5F">
              <w:rPr>
                <w:rFonts w:ascii="Arial" w:eastAsia="Times New Roman" w:hAnsi="Arial" w:cs="Arial"/>
                <w:color w:val="000000"/>
                <w:sz w:val="18"/>
                <w:szCs w:val="18"/>
                <w:lang w:eastAsia="pt-BR"/>
              </w:rPr>
              <w:t>III. Caracterização sucinta da UGRHI.</w:t>
            </w:r>
          </w:p>
        </w:tc>
        <w:tc>
          <w:tcPr>
            <w:tcW w:w="526" w:type="pct"/>
            <w:shd w:val="clear" w:color="auto" w:fill="auto"/>
            <w:vAlign w:val="center"/>
          </w:tcPr>
          <w:p w:rsidR="0078548B" w:rsidRPr="00367C5F" w:rsidRDefault="00717193" w:rsidP="00D038AB">
            <w:pPr>
              <w:spacing w:after="0"/>
              <w:jc w:val="center"/>
              <w:rPr>
                <w:rFonts w:ascii="Arial" w:eastAsia="Times New Roman" w:hAnsi="Arial" w:cs="Arial"/>
                <w:color w:val="000000"/>
                <w:sz w:val="18"/>
                <w:szCs w:val="18"/>
                <w:lang w:eastAsia="pt-BR"/>
              </w:rPr>
            </w:pPr>
            <w:r w:rsidRPr="00367C5F">
              <w:rPr>
                <w:rFonts w:ascii="Arial" w:eastAsia="Times New Roman" w:hAnsi="Arial" w:cs="Arial"/>
                <w:color w:val="000000"/>
                <w:sz w:val="18"/>
                <w:szCs w:val="18"/>
                <w:lang w:eastAsia="pt-BR"/>
              </w:rPr>
              <w:t>Parcial</w:t>
            </w:r>
          </w:p>
        </w:tc>
        <w:tc>
          <w:tcPr>
            <w:tcW w:w="2971" w:type="pct"/>
            <w:shd w:val="clear" w:color="000000" w:fill="FFFFFF"/>
            <w:vAlign w:val="center"/>
          </w:tcPr>
          <w:p w:rsidR="00367C5F" w:rsidRPr="00A23D7A" w:rsidRDefault="00367C5F"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 xml:space="preserve">Explicar na pág. 21 que os municípios </w:t>
            </w:r>
            <w:r w:rsidRPr="00A23D7A">
              <w:rPr>
                <w:rFonts w:ascii="Arial" w:hAnsi="Arial" w:cs="Arial"/>
                <w:sz w:val="18"/>
                <w:szCs w:val="18"/>
              </w:rPr>
              <w:t>com área parcial na UGRHI não foram considerados no cálculo porque só possuem área rural na UGRHI;</w:t>
            </w:r>
          </w:p>
          <w:p w:rsidR="00367C5F" w:rsidRPr="00A23D7A" w:rsidRDefault="00367C5F"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rPr>
              <w:t>Verificar inconsistências: na pág. 23 do Estudo diz que não há problema de demanda na bacia, porém na pág. 40 diz que tem problema de</w:t>
            </w:r>
            <w:r w:rsidR="00A9346F" w:rsidRPr="00A23D7A">
              <w:rPr>
                <w:rFonts w:ascii="Arial" w:hAnsi="Arial" w:cs="Arial"/>
                <w:sz w:val="18"/>
                <w:szCs w:val="18"/>
              </w:rPr>
              <w:t xml:space="preserve"> excesso de </w:t>
            </w:r>
            <w:r w:rsidRPr="00A23D7A">
              <w:rPr>
                <w:rFonts w:ascii="Arial" w:hAnsi="Arial" w:cs="Arial"/>
                <w:sz w:val="18"/>
                <w:szCs w:val="18"/>
              </w:rPr>
              <w:t>demanda. Além disso, na pág. 23 a soma dos volumes de captação subterrânea e superficial resulta em 3,33 m</w:t>
            </w:r>
            <w:r w:rsidRPr="00A23D7A">
              <w:rPr>
                <w:rFonts w:ascii="Arial" w:hAnsi="Arial" w:cs="Arial"/>
                <w:sz w:val="18"/>
                <w:szCs w:val="18"/>
                <w:vertAlign w:val="superscript"/>
              </w:rPr>
              <w:t>3</w:t>
            </w:r>
            <w:r w:rsidRPr="00A23D7A">
              <w:rPr>
                <w:rFonts w:ascii="Arial" w:hAnsi="Arial" w:cs="Arial"/>
                <w:sz w:val="18"/>
                <w:szCs w:val="18"/>
              </w:rPr>
              <w:t>/s e na pág. 96 o total é 235.506,82 m</w:t>
            </w:r>
            <w:r w:rsidRPr="00A23D7A">
              <w:rPr>
                <w:rFonts w:ascii="Arial" w:hAnsi="Arial" w:cs="Arial"/>
                <w:sz w:val="18"/>
                <w:szCs w:val="18"/>
                <w:vertAlign w:val="superscript"/>
              </w:rPr>
              <w:t>3</w:t>
            </w:r>
            <w:r w:rsidRPr="00A23D7A">
              <w:rPr>
                <w:rFonts w:ascii="Arial" w:hAnsi="Arial" w:cs="Arial"/>
                <w:sz w:val="18"/>
                <w:szCs w:val="18"/>
              </w:rPr>
              <w:t>/dia, que equivalem a 2,73 m</w:t>
            </w:r>
            <w:r w:rsidRPr="00A23D7A">
              <w:rPr>
                <w:rFonts w:ascii="Arial" w:hAnsi="Arial" w:cs="Arial"/>
                <w:sz w:val="18"/>
                <w:szCs w:val="18"/>
                <w:vertAlign w:val="superscript"/>
              </w:rPr>
              <w:t>3</w:t>
            </w:r>
            <w:r w:rsidRPr="00A23D7A">
              <w:rPr>
                <w:rFonts w:ascii="Arial" w:hAnsi="Arial" w:cs="Arial"/>
                <w:sz w:val="18"/>
                <w:szCs w:val="18"/>
              </w:rPr>
              <w:t xml:space="preserve">/s. No texto da pág. 36 cita que o IPRS é de </w:t>
            </w:r>
            <w:r w:rsidR="005F1690" w:rsidRPr="00A23D7A">
              <w:rPr>
                <w:rFonts w:ascii="Arial" w:hAnsi="Arial" w:cs="Arial"/>
                <w:sz w:val="18"/>
                <w:szCs w:val="18"/>
              </w:rPr>
              <w:t>2012</w:t>
            </w:r>
            <w:r w:rsidRPr="00A23D7A">
              <w:rPr>
                <w:rFonts w:ascii="Arial" w:hAnsi="Arial" w:cs="Arial"/>
                <w:sz w:val="18"/>
                <w:szCs w:val="18"/>
              </w:rPr>
              <w:t xml:space="preserve">, mas na tabela 05 consta o ano de </w:t>
            </w:r>
            <w:r w:rsidR="005F1690" w:rsidRPr="00A23D7A">
              <w:rPr>
                <w:rFonts w:ascii="Arial" w:hAnsi="Arial" w:cs="Arial"/>
                <w:sz w:val="18"/>
                <w:szCs w:val="18"/>
              </w:rPr>
              <w:t>2010</w:t>
            </w:r>
            <w:r w:rsidRPr="00A23D7A">
              <w:rPr>
                <w:rFonts w:ascii="Arial" w:hAnsi="Arial" w:cs="Arial"/>
                <w:sz w:val="18"/>
                <w:szCs w:val="18"/>
              </w:rPr>
              <w:t>;</w:t>
            </w:r>
          </w:p>
          <w:p w:rsidR="00367C5F" w:rsidRPr="00A23D7A" w:rsidRDefault="00367C5F"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rPr>
              <w:t>Corrigir a cor do município de Neves Paulista no mapa da pág. 67 para laranja, pois ele é operado pelo município;</w:t>
            </w:r>
          </w:p>
          <w:p w:rsidR="00367C5F" w:rsidRPr="00A23D7A" w:rsidRDefault="009C1FC8"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Item 2.1.3.4 (</w:t>
            </w:r>
            <w:r w:rsidRPr="00A23D7A">
              <w:rPr>
                <w:rFonts w:ascii="Arial" w:hAnsi="Arial" w:cs="Arial"/>
                <w:sz w:val="18"/>
                <w:szCs w:val="18"/>
              </w:rPr>
              <w:t>pág. 47): citar quais tipos de indústria têm na UGRHI;</w:t>
            </w:r>
          </w:p>
          <w:p w:rsidR="009C1FC8" w:rsidRPr="00A23D7A" w:rsidRDefault="009C1FC8" w:rsidP="00D038AB">
            <w:pPr>
              <w:pStyle w:val="PargrafodaLista"/>
              <w:numPr>
                <w:ilvl w:val="0"/>
                <w:numId w:val="4"/>
              </w:numPr>
              <w:ind w:left="216" w:hanging="216"/>
              <w:jc w:val="both"/>
              <w:rPr>
                <w:rFonts w:ascii="Arial" w:hAnsi="Arial" w:cs="Arial"/>
                <w:sz w:val="18"/>
                <w:szCs w:val="18"/>
              </w:rPr>
            </w:pPr>
            <w:r w:rsidRPr="00A23D7A">
              <w:rPr>
                <w:rFonts w:ascii="Arial" w:hAnsi="Arial" w:cs="Arial"/>
                <w:sz w:val="18"/>
                <w:szCs w:val="18"/>
              </w:rPr>
              <w:t>Pág. 66: sugere-se excluir o termo “condições favoráveis”, pois parece inferir que serviço autônomo é ruim;</w:t>
            </w:r>
          </w:p>
          <w:p w:rsidR="009C1FC8" w:rsidRPr="00A23D7A" w:rsidRDefault="009C1FC8"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O percentual de população atendida da tabela 12 (pág. 69) não coincide com o apresentado na tabela 13;</w:t>
            </w:r>
          </w:p>
          <w:p w:rsidR="009C1FC8" w:rsidRPr="00A23D7A" w:rsidRDefault="009C1FC8"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Cada fonte da tabela 13 é de um ano</w:t>
            </w:r>
            <w:r w:rsidR="002D463D" w:rsidRPr="00A23D7A">
              <w:rPr>
                <w:rFonts w:ascii="Arial" w:hAnsi="Arial" w:cs="Arial"/>
                <w:sz w:val="18"/>
                <w:szCs w:val="18"/>
                <w:lang w:eastAsia="pt-BR"/>
              </w:rPr>
              <w:t xml:space="preserve"> diferente</w:t>
            </w:r>
            <w:r w:rsidRPr="00A23D7A">
              <w:rPr>
                <w:rFonts w:ascii="Arial" w:hAnsi="Arial" w:cs="Arial"/>
                <w:sz w:val="18"/>
                <w:szCs w:val="18"/>
                <w:lang w:eastAsia="pt-BR"/>
              </w:rPr>
              <w:t>, o que dificulta a análise. Se as fontes forem de anos diferentes</w:t>
            </w:r>
            <w:r w:rsidR="002D463D" w:rsidRPr="00A23D7A">
              <w:rPr>
                <w:rFonts w:ascii="Arial" w:hAnsi="Arial" w:cs="Arial"/>
                <w:sz w:val="18"/>
                <w:szCs w:val="18"/>
                <w:lang w:eastAsia="pt-BR"/>
              </w:rPr>
              <w:t xml:space="preserve"> e não tiver como fazê-los </w:t>
            </w:r>
            <w:r w:rsidR="00994E4A" w:rsidRPr="00A23D7A">
              <w:rPr>
                <w:rFonts w:ascii="Arial" w:hAnsi="Arial" w:cs="Arial"/>
                <w:sz w:val="18"/>
                <w:szCs w:val="18"/>
                <w:lang w:eastAsia="pt-BR"/>
              </w:rPr>
              <w:t xml:space="preserve">com anos </w:t>
            </w:r>
            <w:r w:rsidR="002D463D" w:rsidRPr="00A23D7A">
              <w:rPr>
                <w:rFonts w:ascii="Arial" w:hAnsi="Arial" w:cs="Arial"/>
                <w:sz w:val="18"/>
                <w:szCs w:val="18"/>
                <w:lang w:eastAsia="pt-BR"/>
              </w:rPr>
              <w:t>iguais</w:t>
            </w:r>
            <w:r w:rsidRPr="00A23D7A">
              <w:rPr>
                <w:rFonts w:ascii="Arial" w:hAnsi="Arial" w:cs="Arial"/>
                <w:sz w:val="18"/>
                <w:szCs w:val="18"/>
                <w:lang w:eastAsia="pt-BR"/>
              </w:rPr>
              <w:t xml:space="preserve"> recomenda-se colocar uma explicação;</w:t>
            </w:r>
          </w:p>
          <w:p w:rsidR="009C1FC8" w:rsidRPr="00A23D7A" w:rsidRDefault="009C1FC8"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Corrigir a média “total” na tabela 13, pois foi feita “média das médias”;</w:t>
            </w:r>
          </w:p>
          <w:p w:rsidR="00BC683C" w:rsidRPr="00A23D7A" w:rsidRDefault="00BC683C"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Págs. 59 e 60: classes de suscetibilidade à erosão da tabela e do mapa não são iguais. Na tabela 09 fala que quase 75% da área é classificada como “muito alta suscetibilidade”, porém não coincide com o visualizado no mapa (figura 19);</w:t>
            </w:r>
          </w:p>
          <w:p w:rsidR="00EE7EAB" w:rsidRPr="00A23D7A" w:rsidRDefault="00EE7EAB"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Se possível, melhorar a resolução das figuras 18 e 19;</w:t>
            </w:r>
          </w:p>
          <w:p w:rsidR="00BC683C" w:rsidRPr="00A23D7A" w:rsidRDefault="00BC683C"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 xml:space="preserve">No 1º parágrafo da pág. 59 cita “figura 116”, mas não tem essa figura no relatório, e </w:t>
            </w:r>
            <w:r w:rsidR="00A9346F" w:rsidRPr="00A23D7A">
              <w:rPr>
                <w:rFonts w:ascii="Arial" w:hAnsi="Arial" w:cs="Arial"/>
                <w:sz w:val="18"/>
                <w:szCs w:val="18"/>
                <w:lang w:eastAsia="pt-BR"/>
              </w:rPr>
              <w:t xml:space="preserve">menciona </w:t>
            </w:r>
            <w:r w:rsidRPr="00A23D7A">
              <w:rPr>
                <w:rFonts w:ascii="Arial" w:hAnsi="Arial" w:cs="Arial"/>
                <w:sz w:val="18"/>
                <w:szCs w:val="18"/>
                <w:lang w:eastAsia="pt-BR"/>
              </w:rPr>
              <w:t xml:space="preserve">uma porcentagem que não coincide com o </w:t>
            </w:r>
            <w:r w:rsidR="00A9346F" w:rsidRPr="00A23D7A">
              <w:rPr>
                <w:rFonts w:ascii="Arial" w:hAnsi="Arial" w:cs="Arial"/>
                <w:sz w:val="18"/>
                <w:szCs w:val="18"/>
                <w:lang w:eastAsia="pt-BR"/>
              </w:rPr>
              <w:t xml:space="preserve">dado </w:t>
            </w:r>
            <w:r w:rsidRPr="00A23D7A">
              <w:rPr>
                <w:rFonts w:ascii="Arial" w:hAnsi="Arial" w:cs="Arial"/>
                <w:sz w:val="18"/>
                <w:szCs w:val="18"/>
                <w:lang w:eastAsia="pt-BR"/>
              </w:rPr>
              <w:t>constante na tabela 09;</w:t>
            </w:r>
          </w:p>
          <w:p w:rsidR="001C589C" w:rsidRPr="00A23D7A" w:rsidRDefault="00BC683C"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Carga poluidora doméstica gerada da tabela 17 (pág. 75) e figura 29 (pág. 84) não coincidem com a da tabela 23 (pág. 83);</w:t>
            </w:r>
            <w:r w:rsidR="001C589C" w:rsidRPr="00A23D7A">
              <w:rPr>
                <w:rFonts w:ascii="Arial" w:hAnsi="Arial" w:cs="Arial"/>
                <w:sz w:val="18"/>
                <w:szCs w:val="18"/>
                <w:lang w:eastAsia="pt-BR"/>
              </w:rPr>
              <w:t xml:space="preserve"> </w:t>
            </w:r>
          </w:p>
          <w:p w:rsidR="00BC683C" w:rsidRPr="00A23D7A" w:rsidRDefault="00BC683C"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 xml:space="preserve">Tabela 17: o parâmetro R.02-C é tratamento em relação ao efluente “coletado” e não ao “gerado”, como constou. Na mesma tabela o </w:t>
            </w:r>
            <w:proofErr w:type="gramStart"/>
            <w:r w:rsidRPr="00A23D7A">
              <w:rPr>
                <w:rFonts w:ascii="Arial" w:hAnsi="Arial" w:cs="Arial"/>
                <w:sz w:val="18"/>
                <w:szCs w:val="18"/>
                <w:lang w:eastAsia="pt-BR"/>
              </w:rPr>
              <w:t>E.</w:t>
            </w:r>
            <w:proofErr w:type="gramEnd"/>
            <w:r w:rsidRPr="00A23D7A">
              <w:rPr>
                <w:rFonts w:ascii="Arial" w:hAnsi="Arial" w:cs="Arial"/>
                <w:sz w:val="18"/>
                <w:szCs w:val="18"/>
                <w:lang w:eastAsia="pt-BR"/>
              </w:rPr>
              <w:t>06-C não coincide com a média da tabela 18;</w:t>
            </w:r>
            <w:r w:rsidR="0090006D" w:rsidRPr="00A23D7A">
              <w:rPr>
                <w:rFonts w:ascii="Arial" w:hAnsi="Arial" w:cs="Arial"/>
                <w:sz w:val="18"/>
                <w:szCs w:val="18"/>
                <w:lang w:eastAsia="pt-BR"/>
              </w:rPr>
              <w:t xml:space="preserve"> </w:t>
            </w:r>
          </w:p>
          <w:p w:rsidR="0090006D" w:rsidRPr="00A23D7A" w:rsidRDefault="0090006D"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Tabela 18 – corrigir a média “total” nesta tabela, que resulta em 87,5%;</w:t>
            </w:r>
          </w:p>
          <w:p w:rsidR="00BC683C" w:rsidRPr="00A23D7A" w:rsidRDefault="00BC683C"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lastRenderedPageBreak/>
              <w:t>Pág. 80: título do item é sobre efluente gerado e na tabela 21 consta efluente coletado</w:t>
            </w:r>
            <w:r w:rsidR="003533E4" w:rsidRPr="00A23D7A">
              <w:rPr>
                <w:rFonts w:ascii="Arial" w:hAnsi="Arial" w:cs="Arial"/>
                <w:sz w:val="18"/>
                <w:szCs w:val="18"/>
                <w:lang w:eastAsia="pt-BR"/>
              </w:rPr>
              <w:t>;</w:t>
            </w:r>
          </w:p>
          <w:p w:rsidR="003533E4" w:rsidRPr="00A23D7A" w:rsidRDefault="003533E4"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Rever a informação da pág. 81 de que 100% do</w:t>
            </w:r>
            <w:r w:rsidR="004E5381" w:rsidRPr="00A23D7A">
              <w:rPr>
                <w:rFonts w:ascii="Arial" w:hAnsi="Arial" w:cs="Arial"/>
                <w:sz w:val="18"/>
                <w:szCs w:val="18"/>
                <w:lang w:eastAsia="pt-BR"/>
              </w:rPr>
              <w:t xml:space="preserve"> efluente</w:t>
            </w:r>
            <w:r w:rsidRPr="00A23D7A">
              <w:rPr>
                <w:rFonts w:ascii="Arial" w:hAnsi="Arial" w:cs="Arial"/>
                <w:sz w:val="18"/>
                <w:szCs w:val="18"/>
                <w:lang w:eastAsia="pt-BR"/>
              </w:rPr>
              <w:t xml:space="preserve"> gerado é tratado;</w:t>
            </w:r>
          </w:p>
          <w:p w:rsidR="004E5381" w:rsidRPr="00A23D7A" w:rsidRDefault="004E5381" w:rsidP="00A9346F">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Pág. 90: cita que há efluente industrial lançado sem tratamento, porém isso é ilegal. Qual é a fonte dessa informação e quais são as indústrias que não tratam?</w:t>
            </w:r>
            <w:r w:rsidR="00A9346F" w:rsidRPr="00A23D7A">
              <w:rPr>
                <w:rFonts w:ascii="Arial" w:hAnsi="Arial" w:cs="Arial"/>
                <w:sz w:val="18"/>
                <w:szCs w:val="18"/>
                <w:lang w:eastAsia="pt-BR"/>
              </w:rPr>
              <w:t xml:space="preserve"> Caso não tenham este tipo de informação, sugere-se excluir;</w:t>
            </w:r>
          </w:p>
          <w:p w:rsidR="004E5381" w:rsidRPr="00A23D7A" w:rsidRDefault="004E5381"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Pág. 92: faltam as Resoluções CONAMA nº 396/2008 e 430/2011 e CNRH nº 91/2008. No final do 1º parágrafo diz que é para atender “as necessidades da comunidade”, mas o correto são “os usos preponderantes”;</w:t>
            </w:r>
          </w:p>
          <w:p w:rsidR="004E5381" w:rsidRPr="00A23D7A" w:rsidRDefault="004E5381"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Pág. 95, 2º parágrafo: o correto é “enquadramento” e não “reenquadramento”. Cita a Resolução CONAMA nº 20/1986, porém a mesma foi revogada;</w:t>
            </w:r>
          </w:p>
          <w:p w:rsidR="004E5381" w:rsidRPr="00A23D7A" w:rsidRDefault="0094797D"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Na pág. 96, acrescentar no final do 2º parágrafo: “necessitando, entretanto, da efetivação do enquadramento, conforme artigo 14 da Resolução CNRH nº 91/2008”;</w:t>
            </w:r>
          </w:p>
          <w:p w:rsidR="0094797D" w:rsidRPr="00A23D7A" w:rsidRDefault="002655CA" w:rsidP="00D038AB">
            <w:pPr>
              <w:pStyle w:val="PargrafodaLista"/>
              <w:numPr>
                <w:ilvl w:val="0"/>
                <w:numId w:val="4"/>
              </w:numPr>
              <w:ind w:left="216" w:hanging="216"/>
              <w:jc w:val="both"/>
              <w:rPr>
                <w:rFonts w:ascii="Arial" w:hAnsi="Arial" w:cs="Arial"/>
                <w:sz w:val="18"/>
                <w:szCs w:val="18"/>
                <w:lang w:eastAsia="pt-BR"/>
              </w:rPr>
            </w:pPr>
            <w:r w:rsidRPr="00A23D7A">
              <w:rPr>
                <w:rFonts w:ascii="Arial" w:hAnsi="Arial" w:cs="Arial"/>
                <w:sz w:val="18"/>
                <w:szCs w:val="18"/>
                <w:lang w:eastAsia="pt-BR"/>
              </w:rPr>
              <w:t>Pág. 99: diz que a qualidade da água é satisfatória. Como pode afirmar isso, se disse que não tem monitoramento?</w:t>
            </w:r>
          </w:p>
          <w:p w:rsidR="00457F96" w:rsidRPr="00A23D7A" w:rsidRDefault="00457F96" w:rsidP="00D038AB">
            <w:pPr>
              <w:pStyle w:val="PargrafodaLista"/>
              <w:numPr>
                <w:ilvl w:val="0"/>
                <w:numId w:val="3"/>
              </w:numPr>
              <w:spacing w:after="0"/>
              <w:ind w:left="216" w:hanging="216"/>
              <w:contextualSpacing w:val="0"/>
              <w:jc w:val="both"/>
              <w:rPr>
                <w:rFonts w:ascii="Arial" w:eastAsia="Times New Roman" w:hAnsi="Arial" w:cs="Arial"/>
                <w:b/>
                <w:bCs/>
                <w:smallCaps/>
                <w:sz w:val="18"/>
                <w:szCs w:val="18"/>
                <w:lang w:eastAsia="pt-BR"/>
              </w:rPr>
            </w:pPr>
            <w:r w:rsidRPr="00A23D7A">
              <w:rPr>
                <w:rFonts w:ascii="Arial" w:eastAsia="Times New Roman" w:hAnsi="Arial" w:cs="Arial"/>
                <w:bCs/>
                <w:sz w:val="18"/>
                <w:szCs w:val="18"/>
                <w:lang w:eastAsia="pt-BR"/>
              </w:rPr>
              <w:t xml:space="preserve">Item 2.1.7.2 – Índice de atendimento de água, há menção quanto </w:t>
            </w:r>
            <w:r w:rsidR="00712CF0" w:rsidRPr="00A23D7A">
              <w:rPr>
                <w:rFonts w:ascii="Arial" w:eastAsia="Times New Roman" w:hAnsi="Arial" w:cs="Arial"/>
                <w:bCs/>
                <w:sz w:val="18"/>
                <w:szCs w:val="18"/>
                <w:lang w:eastAsia="pt-BR"/>
              </w:rPr>
              <w:t>às</w:t>
            </w:r>
            <w:r w:rsidRPr="00A23D7A">
              <w:rPr>
                <w:rFonts w:ascii="Arial" w:eastAsia="Times New Roman" w:hAnsi="Arial" w:cs="Arial"/>
                <w:bCs/>
                <w:sz w:val="18"/>
                <w:szCs w:val="18"/>
                <w:lang w:eastAsia="pt-BR"/>
              </w:rPr>
              <w:t xml:space="preserve"> informações do SNIS – Sistema Nacional de Informações de Saneamento, não especificando sua edição. A última edição refere-se ao ano de 2014 e publicada em fevereiro de 2016;</w:t>
            </w:r>
          </w:p>
          <w:p w:rsidR="00457F96" w:rsidRPr="00A23D7A" w:rsidRDefault="00457F96" w:rsidP="00D038AB">
            <w:pPr>
              <w:pStyle w:val="PargrafodaLista"/>
              <w:numPr>
                <w:ilvl w:val="0"/>
                <w:numId w:val="3"/>
              </w:numPr>
              <w:spacing w:after="0"/>
              <w:ind w:left="216" w:hanging="216"/>
              <w:contextualSpacing w:val="0"/>
              <w:jc w:val="both"/>
              <w:rPr>
                <w:rFonts w:ascii="Arial" w:eastAsia="Times New Roman" w:hAnsi="Arial" w:cs="Arial"/>
                <w:b/>
                <w:bCs/>
                <w:smallCaps/>
                <w:sz w:val="18"/>
                <w:szCs w:val="18"/>
                <w:lang w:eastAsia="pt-BR"/>
              </w:rPr>
            </w:pPr>
            <w:r w:rsidRPr="00A23D7A">
              <w:rPr>
                <w:rFonts w:ascii="Arial" w:eastAsia="Times New Roman" w:hAnsi="Arial" w:cs="Arial"/>
                <w:bCs/>
                <w:sz w:val="18"/>
                <w:szCs w:val="18"/>
                <w:lang w:eastAsia="pt-BR"/>
              </w:rPr>
              <w:t>Tabela 13 – População atendida e abastecimento de água – UGRHI 18, são utilizadas várias fontes: SEADE 2013, S</w:t>
            </w:r>
            <w:r w:rsidR="00322A96">
              <w:rPr>
                <w:rFonts w:ascii="Arial" w:eastAsia="Times New Roman" w:hAnsi="Arial" w:cs="Arial"/>
                <w:bCs/>
                <w:sz w:val="18"/>
                <w:szCs w:val="18"/>
                <w:lang w:eastAsia="pt-BR"/>
              </w:rPr>
              <w:t>ABESP 2015 e Serviços Autônomos</w:t>
            </w:r>
            <w:r w:rsidR="00375CA5">
              <w:rPr>
                <w:rFonts w:ascii="Arial" w:eastAsia="Times New Roman" w:hAnsi="Arial" w:cs="Arial"/>
                <w:bCs/>
                <w:sz w:val="18"/>
                <w:szCs w:val="18"/>
                <w:lang w:eastAsia="pt-BR"/>
              </w:rPr>
              <w:t>, não incluindo o SNIS</w:t>
            </w:r>
            <w:bookmarkStart w:id="1" w:name="_GoBack"/>
            <w:bookmarkEnd w:id="1"/>
            <w:r w:rsidRPr="00A23D7A">
              <w:rPr>
                <w:rFonts w:ascii="Arial" w:eastAsia="Times New Roman" w:hAnsi="Arial" w:cs="Arial"/>
                <w:bCs/>
                <w:sz w:val="18"/>
                <w:szCs w:val="18"/>
                <w:lang w:eastAsia="pt-BR"/>
              </w:rPr>
              <w:t>. Será necessário definir uma fonte;</w:t>
            </w:r>
          </w:p>
          <w:p w:rsidR="00457F96" w:rsidRPr="00A23D7A" w:rsidRDefault="00457F96" w:rsidP="00D038AB">
            <w:pPr>
              <w:pStyle w:val="PargrafodaLista"/>
              <w:numPr>
                <w:ilvl w:val="0"/>
                <w:numId w:val="3"/>
              </w:numPr>
              <w:spacing w:after="0"/>
              <w:ind w:left="216" w:hanging="216"/>
              <w:contextualSpacing w:val="0"/>
              <w:jc w:val="both"/>
              <w:rPr>
                <w:rFonts w:ascii="Arial" w:eastAsia="Times New Roman" w:hAnsi="Arial" w:cs="Arial"/>
                <w:b/>
                <w:bCs/>
                <w:smallCaps/>
                <w:sz w:val="18"/>
                <w:szCs w:val="18"/>
                <w:lang w:eastAsia="pt-BR"/>
              </w:rPr>
            </w:pPr>
            <w:r w:rsidRPr="00A23D7A">
              <w:rPr>
                <w:rFonts w:ascii="Arial" w:eastAsia="Times New Roman" w:hAnsi="Arial" w:cs="Arial"/>
                <w:bCs/>
                <w:sz w:val="18"/>
                <w:szCs w:val="18"/>
                <w:lang w:eastAsia="pt-BR"/>
              </w:rPr>
              <w:t xml:space="preserve">Compatibilizar tais populações (total / atendida) e percentuais de atendimento com as informações do SNIS. Vide publicação Glossário de Informações – Água e Esgotos – Gerais referente a: </w:t>
            </w:r>
            <w:r w:rsidRPr="00A23D7A">
              <w:rPr>
                <w:rFonts w:ascii="Arial" w:eastAsia="Times New Roman" w:hAnsi="Arial" w:cs="Arial"/>
                <w:b/>
                <w:bCs/>
                <w:sz w:val="18"/>
                <w:szCs w:val="18"/>
                <w:lang w:eastAsia="pt-BR"/>
              </w:rPr>
              <w:t>(i)</w:t>
            </w:r>
            <w:r w:rsidRPr="00A23D7A">
              <w:rPr>
                <w:rFonts w:ascii="Arial" w:eastAsia="Times New Roman" w:hAnsi="Arial" w:cs="Arial"/>
                <w:bCs/>
                <w:sz w:val="18"/>
                <w:szCs w:val="18"/>
                <w:lang w:eastAsia="pt-BR"/>
              </w:rPr>
              <w:t xml:space="preserve"> G</w:t>
            </w:r>
            <w:r w:rsidR="009821E7" w:rsidRPr="00A23D7A">
              <w:rPr>
                <w:rFonts w:ascii="Arial" w:eastAsia="Times New Roman" w:hAnsi="Arial" w:cs="Arial"/>
                <w:bCs/>
                <w:sz w:val="18"/>
                <w:szCs w:val="18"/>
                <w:lang w:eastAsia="pt-BR"/>
              </w:rPr>
              <w:t>0</w:t>
            </w:r>
            <w:r w:rsidRPr="00A23D7A">
              <w:rPr>
                <w:rFonts w:ascii="Arial" w:eastAsia="Times New Roman" w:hAnsi="Arial" w:cs="Arial"/>
                <w:bCs/>
                <w:sz w:val="18"/>
                <w:szCs w:val="18"/>
                <w:lang w:eastAsia="pt-BR"/>
              </w:rPr>
              <w:t xml:space="preserve">6A; e, </w:t>
            </w:r>
            <w:r w:rsidRPr="00A23D7A">
              <w:rPr>
                <w:rFonts w:ascii="Arial" w:eastAsia="Times New Roman" w:hAnsi="Arial" w:cs="Arial"/>
                <w:b/>
                <w:bCs/>
                <w:sz w:val="18"/>
                <w:szCs w:val="18"/>
                <w:lang w:eastAsia="pt-BR"/>
              </w:rPr>
              <w:t>(</w:t>
            </w:r>
            <w:proofErr w:type="spellStart"/>
            <w:r w:rsidRPr="00A23D7A">
              <w:rPr>
                <w:rFonts w:ascii="Arial" w:eastAsia="Times New Roman" w:hAnsi="Arial" w:cs="Arial"/>
                <w:b/>
                <w:bCs/>
                <w:sz w:val="18"/>
                <w:szCs w:val="18"/>
                <w:lang w:eastAsia="pt-BR"/>
              </w:rPr>
              <w:t>ii</w:t>
            </w:r>
            <w:proofErr w:type="spellEnd"/>
            <w:r w:rsidRPr="00A23D7A">
              <w:rPr>
                <w:rFonts w:ascii="Arial" w:eastAsia="Times New Roman" w:hAnsi="Arial" w:cs="Arial"/>
                <w:b/>
                <w:bCs/>
                <w:sz w:val="18"/>
                <w:szCs w:val="18"/>
                <w:lang w:eastAsia="pt-BR"/>
              </w:rPr>
              <w:t xml:space="preserve">) </w:t>
            </w:r>
            <w:r w:rsidRPr="00A23D7A">
              <w:rPr>
                <w:rFonts w:ascii="Arial" w:eastAsia="Times New Roman" w:hAnsi="Arial" w:cs="Arial"/>
                <w:bCs/>
                <w:sz w:val="18"/>
                <w:szCs w:val="18"/>
                <w:lang w:eastAsia="pt-BR"/>
              </w:rPr>
              <w:t>G12A;</w:t>
            </w:r>
          </w:p>
          <w:p w:rsidR="00457F96" w:rsidRPr="00A23D7A" w:rsidRDefault="00457F96" w:rsidP="00D038AB">
            <w:pPr>
              <w:pStyle w:val="PargrafodaLista"/>
              <w:numPr>
                <w:ilvl w:val="0"/>
                <w:numId w:val="3"/>
              </w:numPr>
              <w:spacing w:after="0"/>
              <w:ind w:left="216" w:hanging="216"/>
              <w:contextualSpacing w:val="0"/>
              <w:jc w:val="both"/>
              <w:rPr>
                <w:rFonts w:ascii="Arial" w:eastAsia="Times New Roman" w:hAnsi="Arial" w:cs="Arial"/>
                <w:b/>
                <w:bCs/>
                <w:smallCaps/>
                <w:sz w:val="18"/>
                <w:szCs w:val="18"/>
                <w:lang w:eastAsia="pt-BR"/>
              </w:rPr>
            </w:pPr>
            <w:r w:rsidRPr="00A23D7A">
              <w:rPr>
                <w:rFonts w:ascii="Arial" w:eastAsia="Times New Roman" w:hAnsi="Arial" w:cs="Arial"/>
                <w:bCs/>
                <w:sz w:val="18"/>
                <w:szCs w:val="18"/>
                <w:lang w:eastAsia="pt-BR"/>
              </w:rPr>
              <w:t xml:space="preserve">Item 2.1.7.3 – Índice de perdas no sistema de abastecimento de água, há menção quanto </w:t>
            </w:r>
            <w:r w:rsidR="00712CF0" w:rsidRPr="00A23D7A">
              <w:rPr>
                <w:rFonts w:ascii="Arial" w:eastAsia="Times New Roman" w:hAnsi="Arial" w:cs="Arial"/>
                <w:bCs/>
                <w:sz w:val="18"/>
                <w:szCs w:val="18"/>
                <w:lang w:eastAsia="pt-BR"/>
              </w:rPr>
              <w:t>às</w:t>
            </w:r>
            <w:r w:rsidRPr="00A23D7A">
              <w:rPr>
                <w:rFonts w:ascii="Arial" w:eastAsia="Times New Roman" w:hAnsi="Arial" w:cs="Arial"/>
                <w:bCs/>
                <w:sz w:val="18"/>
                <w:szCs w:val="18"/>
                <w:lang w:eastAsia="pt-BR"/>
              </w:rPr>
              <w:t xml:space="preserve"> informações do SNIS – Sistema Nacional de Informações de Saneamento 2012. Atualizar os comentários e Tabela 15 em relação </w:t>
            </w:r>
            <w:r w:rsidR="00712CF0" w:rsidRPr="00A23D7A">
              <w:rPr>
                <w:rFonts w:ascii="Arial" w:eastAsia="Times New Roman" w:hAnsi="Arial" w:cs="Arial"/>
                <w:bCs/>
                <w:sz w:val="18"/>
                <w:szCs w:val="18"/>
                <w:lang w:eastAsia="pt-BR"/>
              </w:rPr>
              <w:t>à</w:t>
            </w:r>
            <w:r w:rsidRPr="00A23D7A">
              <w:rPr>
                <w:rFonts w:ascii="Arial" w:eastAsia="Times New Roman" w:hAnsi="Arial" w:cs="Arial"/>
                <w:bCs/>
                <w:sz w:val="18"/>
                <w:szCs w:val="18"/>
                <w:lang w:eastAsia="pt-BR"/>
              </w:rPr>
              <w:t xml:space="preserve"> última edição do SNIS de 2014;</w:t>
            </w:r>
          </w:p>
          <w:p w:rsidR="002D6997" w:rsidRPr="00A23D7A" w:rsidRDefault="002D6997" w:rsidP="00A23D7A">
            <w:pPr>
              <w:pStyle w:val="PargrafodaLista"/>
              <w:numPr>
                <w:ilvl w:val="0"/>
                <w:numId w:val="3"/>
              </w:numPr>
              <w:spacing w:after="0"/>
              <w:ind w:left="216" w:hanging="216"/>
              <w:contextualSpacing w:val="0"/>
              <w:jc w:val="both"/>
              <w:rPr>
                <w:rFonts w:ascii="Arial" w:eastAsia="Times New Roman" w:hAnsi="Arial" w:cs="Arial"/>
                <w:bCs/>
                <w:sz w:val="18"/>
                <w:szCs w:val="18"/>
                <w:lang w:eastAsia="pt-BR"/>
              </w:rPr>
            </w:pPr>
            <w:r w:rsidRPr="00A23D7A">
              <w:rPr>
                <w:rFonts w:ascii="Arial" w:eastAsia="Times New Roman" w:hAnsi="Arial" w:cs="Arial"/>
                <w:bCs/>
                <w:sz w:val="18"/>
                <w:szCs w:val="18"/>
                <w:lang w:eastAsia="pt-BR"/>
              </w:rPr>
              <w:t xml:space="preserve">Explicar </w:t>
            </w:r>
            <w:r w:rsidR="00565364" w:rsidRPr="00A23D7A">
              <w:rPr>
                <w:rFonts w:ascii="Arial" w:eastAsia="Times New Roman" w:hAnsi="Arial" w:cs="Arial"/>
                <w:bCs/>
                <w:sz w:val="18"/>
                <w:szCs w:val="18"/>
                <w:lang w:eastAsia="pt-BR"/>
              </w:rPr>
              <w:t xml:space="preserve">como foi calculado o índice de perdas médio (16,6) apresentado </w:t>
            </w:r>
            <w:r w:rsidRPr="00A23D7A">
              <w:rPr>
                <w:rFonts w:ascii="Arial" w:eastAsia="Times New Roman" w:hAnsi="Arial" w:cs="Arial"/>
                <w:bCs/>
                <w:sz w:val="18"/>
                <w:szCs w:val="18"/>
                <w:lang w:eastAsia="pt-BR"/>
              </w:rPr>
              <w:t xml:space="preserve">na </w:t>
            </w:r>
            <w:r w:rsidR="00565364" w:rsidRPr="00A23D7A">
              <w:rPr>
                <w:rFonts w:ascii="Arial" w:eastAsia="Times New Roman" w:hAnsi="Arial" w:cs="Arial"/>
                <w:bCs/>
                <w:sz w:val="18"/>
                <w:szCs w:val="18"/>
                <w:lang w:eastAsia="pt-BR"/>
              </w:rPr>
              <w:t>T</w:t>
            </w:r>
            <w:r w:rsidRPr="00A23D7A">
              <w:rPr>
                <w:rFonts w:ascii="Arial" w:eastAsia="Times New Roman" w:hAnsi="Arial" w:cs="Arial"/>
                <w:bCs/>
                <w:sz w:val="18"/>
                <w:szCs w:val="18"/>
                <w:lang w:eastAsia="pt-BR"/>
              </w:rPr>
              <w:t>ab. 15</w:t>
            </w:r>
            <w:r w:rsidR="00565364" w:rsidRPr="00A23D7A">
              <w:rPr>
                <w:rFonts w:ascii="Arial" w:eastAsia="Times New Roman" w:hAnsi="Arial" w:cs="Arial"/>
                <w:bCs/>
                <w:sz w:val="18"/>
                <w:szCs w:val="18"/>
                <w:lang w:eastAsia="pt-BR"/>
              </w:rPr>
              <w:t>, levando-</w:t>
            </w:r>
            <w:r w:rsidR="002B3C7D" w:rsidRPr="00A23D7A">
              <w:rPr>
                <w:rFonts w:ascii="Arial" w:eastAsia="Times New Roman" w:hAnsi="Arial" w:cs="Arial"/>
                <w:bCs/>
                <w:sz w:val="18"/>
                <w:szCs w:val="18"/>
                <w:lang w:eastAsia="pt-BR"/>
              </w:rPr>
              <w:t>se em</w:t>
            </w:r>
            <w:r w:rsidR="00565364" w:rsidRPr="00A23D7A">
              <w:rPr>
                <w:rFonts w:ascii="Arial" w:eastAsia="Times New Roman" w:hAnsi="Arial" w:cs="Arial"/>
                <w:bCs/>
                <w:sz w:val="18"/>
                <w:szCs w:val="18"/>
                <w:lang w:eastAsia="pt-BR"/>
              </w:rPr>
              <w:t xml:space="preserve"> conta que os </w:t>
            </w:r>
            <w:r w:rsidRPr="00A23D7A">
              <w:rPr>
                <w:rFonts w:ascii="Arial" w:eastAsia="Times New Roman" w:hAnsi="Arial" w:cs="Arial"/>
                <w:bCs/>
                <w:sz w:val="18"/>
                <w:szCs w:val="18"/>
                <w:lang w:eastAsia="pt-BR"/>
              </w:rPr>
              <w:t xml:space="preserve">municípios de Santa Fé do Sul e Ilha Solteira, </w:t>
            </w:r>
            <w:r w:rsidR="00610826" w:rsidRPr="00A23D7A">
              <w:rPr>
                <w:rFonts w:ascii="Arial" w:eastAsia="Times New Roman" w:hAnsi="Arial" w:cs="Arial"/>
                <w:bCs/>
                <w:sz w:val="18"/>
                <w:szCs w:val="18"/>
                <w:lang w:eastAsia="pt-BR"/>
              </w:rPr>
              <w:t>com</w:t>
            </w:r>
            <w:r w:rsidRPr="00A23D7A">
              <w:rPr>
                <w:rFonts w:ascii="Arial" w:eastAsia="Times New Roman" w:hAnsi="Arial" w:cs="Arial"/>
                <w:bCs/>
                <w:sz w:val="18"/>
                <w:szCs w:val="18"/>
                <w:lang w:eastAsia="pt-BR"/>
              </w:rPr>
              <w:t xml:space="preserve"> a 2º e 3º maior população </w:t>
            </w:r>
            <w:r w:rsidR="00610826" w:rsidRPr="00A23D7A">
              <w:rPr>
                <w:rFonts w:ascii="Arial" w:eastAsia="Times New Roman" w:hAnsi="Arial" w:cs="Arial"/>
                <w:bCs/>
                <w:sz w:val="18"/>
                <w:szCs w:val="18"/>
                <w:lang w:eastAsia="pt-BR"/>
              </w:rPr>
              <w:t xml:space="preserve">dos </w:t>
            </w:r>
            <w:r w:rsidRPr="00A23D7A">
              <w:rPr>
                <w:rFonts w:ascii="Arial" w:eastAsia="Times New Roman" w:hAnsi="Arial" w:cs="Arial"/>
                <w:bCs/>
                <w:sz w:val="18"/>
                <w:szCs w:val="18"/>
                <w:lang w:eastAsia="pt-BR"/>
              </w:rPr>
              <w:t>municípios considerados apresentam, respectivamente, índice de perdas de 36,6 e 41,9.</w:t>
            </w:r>
          </w:p>
          <w:p w:rsidR="00457F96" w:rsidRPr="00A23D7A" w:rsidRDefault="00457F96" w:rsidP="00D038AB">
            <w:pPr>
              <w:pStyle w:val="PargrafodaLista"/>
              <w:numPr>
                <w:ilvl w:val="0"/>
                <w:numId w:val="3"/>
              </w:numPr>
              <w:spacing w:after="0"/>
              <w:ind w:left="216" w:hanging="216"/>
              <w:contextualSpacing w:val="0"/>
              <w:jc w:val="both"/>
              <w:rPr>
                <w:rFonts w:ascii="Arial" w:eastAsia="Times New Roman" w:hAnsi="Arial" w:cs="Arial"/>
                <w:b/>
                <w:bCs/>
                <w:smallCaps/>
                <w:color w:val="000000"/>
                <w:sz w:val="18"/>
                <w:szCs w:val="18"/>
                <w:lang w:eastAsia="pt-BR"/>
              </w:rPr>
            </w:pPr>
            <w:r w:rsidRPr="00A23D7A">
              <w:rPr>
                <w:rFonts w:ascii="Arial" w:eastAsia="Times New Roman" w:hAnsi="Arial" w:cs="Arial"/>
                <w:bCs/>
                <w:sz w:val="18"/>
                <w:szCs w:val="18"/>
                <w:lang w:eastAsia="pt-BR"/>
              </w:rPr>
              <w:t xml:space="preserve">Item 2.1.7.4 – Esgotamento sanitário é necessário compatibilizar as populações (total / atendida) e percentuais de atendimento constantes na Tabela 18 com as informações do SNIS. Vide publicação Glossário de Informações – Água e Esgotos – Gerais referente a: </w:t>
            </w:r>
            <w:r w:rsidRPr="00A23D7A">
              <w:rPr>
                <w:rFonts w:ascii="Arial" w:eastAsia="Times New Roman" w:hAnsi="Arial" w:cs="Arial"/>
                <w:b/>
                <w:bCs/>
                <w:sz w:val="18"/>
                <w:szCs w:val="18"/>
                <w:lang w:eastAsia="pt-BR"/>
              </w:rPr>
              <w:t>(i)</w:t>
            </w:r>
            <w:r w:rsidRPr="00A23D7A">
              <w:rPr>
                <w:rFonts w:ascii="Arial" w:eastAsia="Times New Roman" w:hAnsi="Arial" w:cs="Arial"/>
                <w:bCs/>
                <w:sz w:val="18"/>
                <w:szCs w:val="18"/>
                <w:lang w:eastAsia="pt-BR"/>
              </w:rPr>
              <w:t xml:space="preserve"> G</w:t>
            </w:r>
            <w:r w:rsidR="003C2502" w:rsidRPr="00A23D7A">
              <w:rPr>
                <w:rFonts w:ascii="Arial" w:eastAsia="Times New Roman" w:hAnsi="Arial" w:cs="Arial"/>
                <w:bCs/>
                <w:sz w:val="18"/>
                <w:szCs w:val="18"/>
                <w:lang w:eastAsia="pt-BR"/>
              </w:rPr>
              <w:t>0</w:t>
            </w:r>
            <w:r w:rsidRPr="00A23D7A">
              <w:rPr>
                <w:rFonts w:ascii="Arial" w:eastAsia="Times New Roman" w:hAnsi="Arial" w:cs="Arial"/>
                <w:bCs/>
                <w:sz w:val="18"/>
                <w:szCs w:val="18"/>
                <w:lang w:eastAsia="pt-BR"/>
              </w:rPr>
              <w:t xml:space="preserve">6B; e, </w:t>
            </w:r>
            <w:r w:rsidRPr="00A23D7A">
              <w:rPr>
                <w:rFonts w:ascii="Arial" w:eastAsia="Times New Roman" w:hAnsi="Arial" w:cs="Arial"/>
                <w:b/>
                <w:bCs/>
                <w:sz w:val="18"/>
                <w:szCs w:val="18"/>
                <w:lang w:eastAsia="pt-BR"/>
              </w:rPr>
              <w:t>(</w:t>
            </w:r>
            <w:proofErr w:type="spellStart"/>
            <w:r w:rsidRPr="00A23D7A">
              <w:rPr>
                <w:rFonts w:ascii="Arial" w:eastAsia="Times New Roman" w:hAnsi="Arial" w:cs="Arial"/>
                <w:b/>
                <w:bCs/>
                <w:sz w:val="18"/>
                <w:szCs w:val="18"/>
                <w:lang w:eastAsia="pt-BR"/>
              </w:rPr>
              <w:t>ii</w:t>
            </w:r>
            <w:proofErr w:type="spellEnd"/>
            <w:r w:rsidRPr="00A23D7A">
              <w:rPr>
                <w:rFonts w:ascii="Arial" w:eastAsia="Times New Roman" w:hAnsi="Arial" w:cs="Arial"/>
                <w:b/>
                <w:bCs/>
                <w:sz w:val="18"/>
                <w:szCs w:val="18"/>
                <w:lang w:eastAsia="pt-BR"/>
              </w:rPr>
              <w:t xml:space="preserve">) </w:t>
            </w:r>
            <w:r w:rsidRPr="00A23D7A">
              <w:rPr>
                <w:rFonts w:ascii="Arial" w:eastAsia="Times New Roman" w:hAnsi="Arial" w:cs="Arial"/>
                <w:bCs/>
                <w:sz w:val="18"/>
                <w:szCs w:val="18"/>
                <w:lang w:eastAsia="pt-BR"/>
              </w:rPr>
              <w:t>G12B;</w:t>
            </w:r>
          </w:p>
          <w:p w:rsidR="00457F96" w:rsidRPr="00A23D7A" w:rsidRDefault="00457F96" w:rsidP="00D038AB">
            <w:pPr>
              <w:pStyle w:val="PargrafodaLista"/>
              <w:numPr>
                <w:ilvl w:val="0"/>
                <w:numId w:val="3"/>
              </w:numPr>
              <w:spacing w:after="0"/>
              <w:ind w:left="216" w:hanging="216"/>
              <w:contextualSpacing w:val="0"/>
              <w:jc w:val="both"/>
              <w:rPr>
                <w:rFonts w:ascii="Arial" w:eastAsia="Times New Roman" w:hAnsi="Arial" w:cs="Arial"/>
                <w:b/>
                <w:bCs/>
                <w:smallCaps/>
                <w:color w:val="000000"/>
                <w:sz w:val="18"/>
                <w:szCs w:val="18"/>
                <w:lang w:eastAsia="pt-BR"/>
              </w:rPr>
            </w:pPr>
            <w:r w:rsidRPr="00A23D7A">
              <w:rPr>
                <w:rFonts w:ascii="Arial" w:eastAsia="Times New Roman" w:hAnsi="Arial" w:cs="Arial"/>
                <w:bCs/>
                <w:color w:val="000000"/>
                <w:sz w:val="18"/>
                <w:szCs w:val="18"/>
                <w:lang w:eastAsia="pt-BR"/>
              </w:rPr>
              <w:t>Item 2.1.7.5 – Índice de atendimento com rede de esgotos. Por uma questão de coerência, são utilizadas várias fontes:</w:t>
            </w:r>
            <w:r w:rsidRPr="00A23D7A">
              <w:rPr>
                <w:rFonts w:ascii="Arial" w:eastAsia="Times New Roman" w:hAnsi="Arial" w:cs="Arial"/>
                <w:bCs/>
                <w:sz w:val="18"/>
                <w:szCs w:val="18"/>
                <w:lang w:eastAsia="pt-BR"/>
              </w:rPr>
              <w:t xml:space="preserve"> SEADE 2013, SABESP 2015 e Serviços Autônomos</w:t>
            </w:r>
            <w:r w:rsidR="00375CA5">
              <w:rPr>
                <w:rFonts w:ascii="Arial" w:eastAsia="Times New Roman" w:hAnsi="Arial" w:cs="Arial"/>
                <w:bCs/>
                <w:sz w:val="18"/>
                <w:szCs w:val="18"/>
                <w:lang w:eastAsia="pt-BR"/>
              </w:rPr>
              <w:t>, não incluindo o SNIS</w:t>
            </w:r>
            <w:r w:rsidRPr="00A23D7A">
              <w:rPr>
                <w:rFonts w:ascii="Arial" w:eastAsia="Times New Roman" w:hAnsi="Arial" w:cs="Arial"/>
                <w:bCs/>
                <w:sz w:val="18"/>
                <w:szCs w:val="18"/>
                <w:lang w:eastAsia="pt-BR"/>
              </w:rPr>
              <w:t>. Será necessário definir uma fonte;</w:t>
            </w:r>
          </w:p>
          <w:p w:rsidR="0078548B" w:rsidRPr="00A23D7A" w:rsidRDefault="00457F96" w:rsidP="00B557BE">
            <w:pPr>
              <w:pStyle w:val="PargrafodaLista"/>
              <w:numPr>
                <w:ilvl w:val="0"/>
                <w:numId w:val="3"/>
              </w:numPr>
              <w:spacing w:after="0"/>
              <w:ind w:left="216" w:hanging="216"/>
              <w:contextualSpacing w:val="0"/>
              <w:jc w:val="both"/>
              <w:rPr>
                <w:rFonts w:ascii="Arial" w:eastAsia="Times New Roman" w:hAnsi="Arial" w:cs="Arial"/>
                <w:b/>
                <w:bCs/>
                <w:smallCaps/>
                <w:color w:val="000000"/>
                <w:sz w:val="18"/>
                <w:szCs w:val="18"/>
                <w:lang w:eastAsia="pt-BR"/>
              </w:rPr>
            </w:pPr>
            <w:r w:rsidRPr="00A23D7A">
              <w:rPr>
                <w:rFonts w:ascii="Arial" w:eastAsia="Times New Roman" w:hAnsi="Arial" w:cs="Arial"/>
                <w:bCs/>
                <w:sz w:val="18"/>
                <w:szCs w:val="18"/>
                <w:lang w:eastAsia="pt-BR"/>
              </w:rPr>
              <w:t>Tabela 18 – População atendida em rede de esgoto – UGRH 18. Valem as considerações anteriores no tocante ao abastecimento de água;</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lastRenderedPageBreak/>
              <w:t>IV. Histórico dos trabalhos relativos à cobrança (segmentos participantes; reuniões e oficinas realizadas; e formulação das propostas de mecanismos de cobrança</w:t>
            </w:r>
            <w:r w:rsidR="00A445F7">
              <w:rPr>
                <w:rFonts w:ascii="Arial" w:eastAsia="Times New Roman" w:hAnsi="Arial" w:cs="Arial"/>
                <w:color w:val="000000"/>
                <w:sz w:val="18"/>
                <w:szCs w:val="18"/>
                <w:lang w:eastAsia="pt-BR"/>
              </w:rPr>
              <w:t>)</w:t>
            </w:r>
            <w:r w:rsidRPr="00A445F7">
              <w:rPr>
                <w:rFonts w:ascii="Arial" w:eastAsia="Times New Roman" w:hAnsi="Arial" w:cs="Arial"/>
                <w:color w:val="000000"/>
                <w:sz w:val="18"/>
                <w:szCs w:val="18"/>
                <w:lang w:eastAsia="pt-BR"/>
              </w:rPr>
              <w:t>.</w:t>
            </w:r>
          </w:p>
        </w:tc>
        <w:tc>
          <w:tcPr>
            <w:tcW w:w="526" w:type="pct"/>
            <w:shd w:val="clear" w:color="auto" w:fill="auto"/>
            <w:noWrap/>
            <w:vAlign w:val="center"/>
          </w:tcPr>
          <w:p w:rsidR="00AF3161" w:rsidRPr="00A445F7" w:rsidRDefault="00AF3161"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Sim</w:t>
            </w:r>
          </w:p>
        </w:tc>
        <w:tc>
          <w:tcPr>
            <w:tcW w:w="2971" w:type="pct"/>
            <w:shd w:val="clear" w:color="000000" w:fill="FFFFFF"/>
            <w:vAlign w:val="center"/>
          </w:tcPr>
          <w:p w:rsidR="0078548B" w:rsidRPr="00A23D7A" w:rsidRDefault="00AF3161" w:rsidP="00D038AB">
            <w:pPr>
              <w:spacing w:after="0"/>
              <w:jc w:val="center"/>
              <w:rPr>
                <w:rFonts w:ascii="Arial" w:eastAsia="Times New Roman" w:hAnsi="Arial" w:cs="Arial"/>
                <w:sz w:val="18"/>
                <w:szCs w:val="18"/>
                <w:lang w:eastAsia="pt-BR"/>
              </w:rPr>
            </w:pPr>
            <w:r w:rsidRPr="00A23D7A">
              <w:rPr>
                <w:rFonts w:ascii="Arial" w:eastAsia="Times New Roman" w:hAnsi="Arial" w:cs="Arial"/>
                <w:sz w:val="18"/>
                <w:szCs w:val="18"/>
                <w:lang w:eastAsia="pt-BR"/>
              </w:rPr>
              <w:t>-</w:t>
            </w:r>
          </w:p>
        </w:tc>
      </w:tr>
      <w:tr w:rsidR="00395CE1" w:rsidRPr="00923E10"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V. Comprovação da qualificação e composição da Plenária do CBH que aprovou a proposta de cobrança, em atendimento ao parágrafo 2º do artigo 6º da Lei 12.183.</w:t>
            </w:r>
          </w:p>
        </w:tc>
        <w:tc>
          <w:tcPr>
            <w:tcW w:w="526" w:type="pct"/>
            <w:shd w:val="clear" w:color="auto" w:fill="auto"/>
            <w:noWrap/>
            <w:vAlign w:val="center"/>
          </w:tcPr>
          <w:p w:rsidR="0078548B" w:rsidRPr="0020177E" w:rsidRDefault="00AF3161" w:rsidP="00D038AB">
            <w:pPr>
              <w:spacing w:after="0"/>
              <w:jc w:val="center"/>
              <w:rPr>
                <w:rFonts w:ascii="Arial" w:eastAsia="Times New Roman" w:hAnsi="Arial" w:cs="Arial"/>
                <w:sz w:val="18"/>
                <w:szCs w:val="18"/>
                <w:lang w:eastAsia="pt-BR"/>
              </w:rPr>
            </w:pPr>
            <w:r>
              <w:rPr>
                <w:rFonts w:ascii="Arial" w:eastAsia="Times New Roman" w:hAnsi="Arial" w:cs="Arial"/>
                <w:sz w:val="18"/>
                <w:szCs w:val="18"/>
                <w:lang w:eastAsia="pt-BR"/>
              </w:rPr>
              <w:t>Não</w:t>
            </w:r>
          </w:p>
        </w:tc>
        <w:tc>
          <w:tcPr>
            <w:tcW w:w="2971" w:type="pct"/>
            <w:shd w:val="clear" w:color="000000" w:fill="FFFFFF"/>
            <w:vAlign w:val="center"/>
          </w:tcPr>
          <w:p w:rsidR="0078548B" w:rsidRPr="00A23D7A" w:rsidRDefault="00AF3161" w:rsidP="00D038AB">
            <w:pPr>
              <w:pStyle w:val="PargrafodaLista"/>
              <w:numPr>
                <w:ilvl w:val="0"/>
                <w:numId w:val="5"/>
              </w:numPr>
              <w:spacing w:after="0"/>
              <w:ind w:left="216" w:hanging="216"/>
              <w:jc w:val="both"/>
              <w:rPr>
                <w:rFonts w:ascii="Arial" w:hAnsi="Arial" w:cs="Arial"/>
                <w:sz w:val="18"/>
                <w:szCs w:val="18"/>
              </w:rPr>
            </w:pPr>
            <w:r w:rsidRPr="00A23D7A">
              <w:rPr>
                <w:rFonts w:ascii="Arial" w:hAnsi="Arial" w:cs="Arial"/>
                <w:sz w:val="18"/>
                <w:szCs w:val="18"/>
              </w:rPr>
              <w:t>Apresentar ata e lista de presença da reuniã</w:t>
            </w:r>
            <w:r w:rsidR="00A9365C" w:rsidRPr="00A23D7A">
              <w:rPr>
                <w:rFonts w:ascii="Arial" w:hAnsi="Arial" w:cs="Arial"/>
                <w:sz w:val="18"/>
                <w:szCs w:val="18"/>
              </w:rPr>
              <w:t>o do CBH que aprovou a cobrança;</w:t>
            </w:r>
          </w:p>
          <w:p w:rsidR="00923E10" w:rsidRPr="00A23D7A" w:rsidRDefault="00AF3161" w:rsidP="00D038AB">
            <w:pPr>
              <w:pStyle w:val="PargrafodaLista"/>
              <w:numPr>
                <w:ilvl w:val="0"/>
                <w:numId w:val="5"/>
              </w:numPr>
              <w:spacing w:after="0"/>
              <w:ind w:left="216" w:hanging="216"/>
              <w:jc w:val="both"/>
              <w:rPr>
                <w:rFonts w:ascii="Arial" w:eastAsia="Times New Roman" w:hAnsi="Arial" w:cs="Arial"/>
                <w:sz w:val="18"/>
                <w:szCs w:val="18"/>
                <w:lang w:eastAsia="pt-BR"/>
              </w:rPr>
            </w:pPr>
            <w:r w:rsidRPr="00A23D7A">
              <w:rPr>
                <w:rFonts w:ascii="Arial" w:hAnsi="Arial" w:cs="Arial"/>
                <w:sz w:val="18"/>
                <w:szCs w:val="18"/>
              </w:rPr>
              <w:t>Identificar quais são os 4 usuários que estavam presentes na reunião (pág. 123)</w:t>
            </w:r>
            <w:r w:rsidR="007533D8" w:rsidRPr="00A23D7A">
              <w:rPr>
                <w:rFonts w:ascii="Arial" w:hAnsi="Arial" w:cs="Arial"/>
                <w:sz w:val="18"/>
                <w:szCs w:val="18"/>
              </w:rPr>
              <w:t>.</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lastRenderedPageBreak/>
              <w:t>VI. Perfil socioeconômico do universo dos usuários: distribuição física da população; discriminação por tipo de uso; distribuição por setor de atividade (serviços públicos de abastecimento, industrial e rural).</w:t>
            </w:r>
          </w:p>
        </w:tc>
        <w:tc>
          <w:tcPr>
            <w:tcW w:w="526" w:type="pct"/>
            <w:shd w:val="clear" w:color="auto" w:fill="auto"/>
            <w:noWrap/>
            <w:vAlign w:val="center"/>
          </w:tcPr>
          <w:p w:rsidR="0078548B" w:rsidRPr="00A445F7" w:rsidRDefault="00DA2545"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Parcial</w:t>
            </w:r>
          </w:p>
        </w:tc>
        <w:tc>
          <w:tcPr>
            <w:tcW w:w="2971" w:type="pct"/>
            <w:shd w:val="clear" w:color="000000" w:fill="FFFFFF"/>
            <w:vAlign w:val="center"/>
          </w:tcPr>
          <w:p w:rsidR="0078548B" w:rsidRPr="00A23D7A" w:rsidRDefault="00A9365C"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Melhorar a discriminação por tipo de uso do setor industrial;</w:t>
            </w:r>
          </w:p>
          <w:p w:rsidR="00A9365C" w:rsidRPr="00A23D7A" w:rsidRDefault="00A9365C"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 xml:space="preserve">Esclarecer </w:t>
            </w:r>
            <w:r w:rsidR="00F51E5D" w:rsidRPr="00A23D7A">
              <w:rPr>
                <w:rFonts w:ascii="Arial" w:hAnsi="Arial" w:cs="Arial"/>
                <w:sz w:val="18"/>
                <w:szCs w:val="18"/>
              </w:rPr>
              <w:t xml:space="preserve">no texto </w:t>
            </w:r>
            <w:r w:rsidRPr="00A23D7A">
              <w:rPr>
                <w:rFonts w:ascii="Arial" w:hAnsi="Arial" w:cs="Arial"/>
                <w:sz w:val="18"/>
                <w:szCs w:val="18"/>
              </w:rPr>
              <w:t xml:space="preserve">qual setor de atividade tem a maior demanda: no texto da pág. 40 diz que é o uso </w:t>
            </w:r>
            <w:r w:rsidR="00F51E5D" w:rsidRPr="00A23D7A">
              <w:rPr>
                <w:rFonts w:ascii="Arial" w:hAnsi="Arial" w:cs="Arial"/>
                <w:sz w:val="18"/>
                <w:szCs w:val="18"/>
              </w:rPr>
              <w:t>industrial</w:t>
            </w:r>
            <w:r w:rsidRPr="00A23D7A">
              <w:rPr>
                <w:rFonts w:ascii="Arial" w:hAnsi="Arial" w:cs="Arial"/>
                <w:sz w:val="18"/>
                <w:szCs w:val="18"/>
              </w:rPr>
              <w:t>, mas na tabela 29</w:t>
            </w:r>
            <w:proofErr w:type="gramStart"/>
            <w:r w:rsidRPr="00A23D7A">
              <w:rPr>
                <w:rFonts w:ascii="Arial" w:hAnsi="Arial" w:cs="Arial"/>
                <w:sz w:val="18"/>
                <w:szCs w:val="18"/>
              </w:rPr>
              <w:t xml:space="preserve"> </w:t>
            </w:r>
            <w:r w:rsidR="00F51E5D" w:rsidRPr="00A23D7A">
              <w:rPr>
                <w:rFonts w:ascii="Arial" w:hAnsi="Arial" w:cs="Arial"/>
                <w:sz w:val="18"/>
                <w:szCs w:val="18"/>
              </w:rPr>
              <w:t xml:space="preserve"> </w:t>
            </w:r>
            <w:proofErr w:type="gramEnd"/>
            <w:r w:rsidR="00F51E5D" w:rsidRPr="00A23D7A">
              <w:rPr>
                <w:rFonts w:ascii="Arial" w:hAnsi="Arial" w:cs="Arial"/>
                <w:sz w:val="18"/>
                <w:szCs w:val="18"/>
              </w:rPr>
              <w:t xml:space="preserve">e ao longo do texto os dados indicam que </w:t>
            </w:r>
            <w:r w:rsidRPr="00A23D7A">
              <w:rPr>
                <w:rFonts w:ascii="Arial" w:hAnsi="Arial" w:cs="Arial"/>
                <w:sz w:val="18"/>
                <w:szCs w:val="18"/>
              </w:rPr>
              <w:t>o uso urbano é maior;</w:t>
            </w:r>
          </w:p>
          <w:p w:rsidR="00923E10" w:rsidRPr="00A23D7A" w:rsidRDefault="00923E10" w:rsidP="00D038AB">
            <w:pPr>
              <w:pStyle w:val="PargrafodaLista"/>
              <w:numPr>
                <w:ilvl w:val="0"/>
                <w:numId w:val="5"/>
              </w:numPr>
              <w:spacing w:after="0"/>
              <w:ind w:left="216" w:hanging="216"/>
              <w:jc w:val="both"/>
            </w:pPr>
            <w:r w:rsidRPr="00A23D7A">
              <w:rPr>
                <w:rFonts w:ascii="Arial" w:hAnsi="Arial" w:cs="Arial"/>
                <w:sz w:val="18"/>
                <w:szCs w:val="18"/>
              </w:rPr>
              <w:t>Para as figuras 9 a 13 foram utilizadas duas fontes (SEADE e Ministério do Trabalho), dando grande divergência. Sugere-se utilizar somente uma fonte ou justificar porque usou duas;</w:t>
            </w:r>
          </w:p>
          <w:p w:rsidR="00923E10" w:rsidRPr="00A23D7A" w:rsidRDefault="00923E10" w:rsidP="00D038AB">
            <w:pPr>
              <w:pStyle w:val="PargrafodaLista"/>
              <w:numPr>
                <w:ilvl w:val="0"/>
                <w:numId w:val="5"/>
              </w:numPr>
              <w:spacing w:after="0"/>
              <w:ind w:left="216" w:hanging="216"/>
              <w:jc w:val="both"/>
            </w:pPr>
            <w:r w:rsidRPr="00A23D7A">
              <w:rPr>
                <w:rFonts w:ascii="Arial" w:hAnsi="Arial" w:cs="Arial"/>
                <w:sz w:val="18"/>
                <w:szCs w:val="18"/>
              </w:rPr>
              <w:t>Conferir os números do texto do último parágrafo da pág. 41 e da figura 9, pois não coincidem.</w:t>
            </w:r>
          </w:p>
          <w:p w:rsidR="00610826" w:rsidRPr="00A23D7A" w:rsidRDefault="00610826" w:rsidP="00D038AB">
            <w:pPr>
              <w:pStyle w:val="PargrafodaLista"/>
              <w:numPr>
                <w:ilvl w:val="0"/>
                <w:numId w:val="5"/>
              </w:numPr>
              <w:tabs>
                <w:tab w:val="left" w:pos="339"/>
              </w:tabs>
              <w:spacing w:after="0"/>
              <w:ind w:left="197" w:hanging="197"/>
              <w:rPr>
                <w:rFonts w:ascii="Arial" w:hAnsi="Arial" w:cs="Arial"/>
              </w:rPr>
            </w:pPr>
            <w:r w:rsidRPr="00A23D7A">
              <w:rPr>
                <w:rFonts w:ascii="Arial" w:hAnsi="Arial" w:cs="Arial"/>
                <w:sz w:val="18"/>
              </w:rPr>
              <w:t>De que forma o IPRS influenciou na cobrança</w:t>
            </w:r>
            <w:r w:rsidR="002B3C7D" w:rsidRPr="00A23D7A">
              <w:rPr>
                <w:rFonts w:ascii="Arial" w:hAnsi="Arial" w:cs="Arial"/>
                <w:sz w:val="18"/>
              </w:rPr>
              <w:t>,</w:t>
            </w:r>
            <w:r w:rsidRPr="00A23D7A">
              <w:rPr>
                <w:rFonts w:ascii="Arial" w:hAnsi="Arial" w:cs="Arial"/>
                <w:sz w:val="18"/>
              </w:rPr>
              <w:t xml:space="preserve"> tendo em vista que em 2010, 6 municípios da UGRHI registraram IPRS nos grupos 4 e 5, nos quais as precariedades econômicas são preponderantes. </w:t>
            </w:r>
            <w:r w:rsidR="002B3C7D" w:rsidRPr="00A23D7A">
              <w:rPr>
                <w:rFonts w:ascii="Arial" w:hAnsi="Arial" w:cs="Arial"/>
                <w:sz w:val="18"/>
              </w:rPr>
              <w:t xml:space="preserve">Figura 08: Evolução do IPRS na UGRHI 18 (pg.40) </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VII. Definição do percentual das ações do PBH a serem financiados com recursos advindos da cobrança.</w:t>
            </w:r>
          </w:p>
        </w:tc>
        <w:tc>
          <w:tcPr>
            <w:tcW w:w="526" w:type="pct"/>
            <w:shd w:val="clear" w:color="auto" w:fill="auto"/>
            <w:noWrap/>
            <w:vAlign w:val="center"/>
          </w:tcPr>
          <w:p w:rsidR="0078548B" w:rsidRPr="00A445F7" w:rsidRDefault="002655CA"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Não</w:t>
            </w:r>
          </w:p>
        </w:tc>
        <w:tc>
          <w:tcPr>
            <w:tcW w:w="2971" w:type="pct"/>
            <w:shd w:val="clear" w:color="000000" w:fill="FFFFFF"/>
            <w:vAlign w:val="center"/>
          </w:tcPr>
          <w:p w:rsidR="0020177E" w:rsidRPr="00A23D7A" w:rsidRDefault="002655CA"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Na tabela 68 (pág. 172) foi utilizado um percentual muito específico de aplicação do recurso. Sugere-se usar intervalos (</w:t>
            </w:r>
            <w:proofErr w:type="spellStart"/>
            <w:r w:rsidRPr="00A23D7A">
              <w:rPr>
                <w:rFonts w:ascii="Arial" w:hAnsi="Arial" w:cs="Arial"/>
                <w:sz w:val="18"/>
                <w:szCs w:val="18"/>
              </w:rPr>
              <w:t>ex</w:t>
            </w:r>
            <w:proofErr w:type="spellEnd"/>
            <w:r w:rsidRPr="00A23D7A">
              <w:rPr>
                <w:rFonts w:ascii="Arial" w:hAnsi="Arial" w:cs="Arial"/>
                <w:sz w:val="18"/>
                <w:szCs w:val="18"/>
              </w:rPr>
              <w:t>: 10% a 20%, até 10%) para permitir remanejar o recurso de acordo com a necessidade, e aplicar todo o recurso arrecadado;</w:t>
            </w:r>
          </w:p>
          <w:p w:rsidR="002655CA" w:rsidRPr="00A23D7A" w:rsidRDefault="002655CA"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As tabelas 68 e 71, apesar de terem títulos diferentes, são iguais no conteúdo. No texto abaixo da tabela 71 (pág. 176) não tem explicação de como foram calculadas as porcentagens por PDC, que são diferentes das porcentagens apresentadas na tabela 71 e na Deliberação CBH-SJD nº 171/2016;</w:t>
            </w:r>
          </w:p>
          <w:p w:rsidR="002655CA" w:rsidRPr="00A23D7A" w:rsidRDefault="002655CA" w:rsidP="00D038AB">
            <w:pPr>
              <w:pStyle w:val="PargrafodaLista"/>
              <w:numPr>
                <w:ilvl w:val="0"/>
                <w:numId w:val="6"/>
              </w:numPr>
              <w:spacing w:after="0"/>
              <w:ind w:left="216" w:hanging="216"/>
              <w:jc w:val="both"/>
              <w:rPr>
                <w:rFonts w:ascii="Arial" w:eastAsia="Times New Roman" w:hAnsi="Arial" w:cs="Arial"/>
                <w:sz w:val="18"/>
                <w:szCs w:val="18"/>
                <w:lang w:eastAsia="pt-BR"/>
              </w:rPr>
            </w:pPr>
            <w:r w:rsidRPr="00A23D7A">
              <w:rPr>
                <w:rFonts w:ascii="Arial" w:hAnsi="Arial" w:cs="Arial"/>
                <w:sz w:val="18"/>
                <w:szCs w:val="18"/>
              </w:rPr>
              <w:t>No Estudo e na Deliberação devem constar: o percentual de recurso da cobrança que será aplicado por PDC, e o percentual que este recurso corresponde ao previsto no Plano de Bacia para cada PDC.</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VIII. Avaliação quantitativa e em valores monetários, da importância da captação, do uso consuntivo e do uso para diluição e assimilação de efluentes, com ênfase especial na avaliação da importância da carga orgânica, expressa por meio do parâmetro Demanda Bioquímica de Oxigênio, previstos para a fase inicial da cobrança.</w:t>
            </w:r>
          </w:p>
        </w:tc>
        <w:tc>
          <w:tcPr>
            <w:tcW w:w="526" w:type="pct"/>
            <w:shd w:val="clear" w:color="auto" w:fill="auto"/>
            <w:noWrap/>
            <w:vAlign w:val="center"/>
          </w:tcPr>
          <w:p w:rsidR="0078548B" w:rsidRPr="00A445F7" w:rsidRDefault="002655CA"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Parcial</w:t>
            </w:r>
          </w:p>
        </w:tc>
        <w:tc>
          <w:tcPr>
            <w:tcW w:w="2971" w:type="pct"/>
            <w:shd w:val="clear" w:color="000000" w:fill="FFFFFF"/>
            <w:vAlign w:val="center"/>
          </w:tcPr>
          <w:p w:rsidR="00722BAE" w:rsidRPr="00A23D7A" w:rsidRDefault="003A434F"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Os volumes das tabelas 69 (pág. 174) e 29 (pág. 96) não coincidem. Na tabela 69 o volume urbano é maior que o industrial e na tabela 29 é ao contrário;</w:t>
            </w:r>
          </w:p>
          <w:p w:rsidR="003A434F" w:rsidRPr="00A23D7A" w:rsidRDefault="003A434F"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Explicar como chegaram aos valores da tabela 69. Foi uma estimativa? É necessário justificar os dados (dizer de onde vieram, como foram calculados);</w:t>
            </w:r>
          </w:p>
          <w:p w:rsidR="003A434F" w:rsidRPr="00A23D7A" w:rsidRDefault="003A434F"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Tabela 52 (pág. 147): colocar qual foi o valor per capita utilizado. Recomenda-se totalizar os dados da tabela;</w:t>
            </w:r>
          </w:p>
          <w:p w:rsidR="003A434F" w:rsidRPr="00A23D7A" w:rsidRDefault="003A434F"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Justificar o 2º parágrafo da pág. 166: qual foi o valor considerado?</w:t>
            </w:r>
          </w:p>
          <w:p w:rsidR="003A434F" w:rsidRPr="00A23D7A" w:rsidRDefault="003A434F"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Em várias tabelas do Estudo consta como fonte “GTECA/CBH”. O que isso significa? Se</w:t>
            </w:r>
            <w:proofErr w:type="gramStart"/>
            <w:r w:rsidRPr="00A23D7A">
              <w:rPr>
                <w:rFonts w:ascii="Arial" w:hAnsi="Arial" w:cs="Arial"/>
                <w:sz w:val="18"/>
                <w:szCs w:val="18"/>
              </w:rPr>
              <w:t xml:space="preserve"> </w:t>
            </w:r>
            <w:r w:rsidR="00BC2EDA" w:rsidRPr="00A23D7A">
              <w:rPr>
                <w:rFonts w:ascii="Arial" w:hAnsi="Arial" w:cs="Arial"/>
                <w:sz w:val="18"/>
                <w:szCs w:val="18"/>
              </w:rPr>
              <w:t xml:space="preserve"> </w:t>
            </w:r>
            <w:proofErr w:type="gramEnd"/>
            <w:r w:rsidR="00BC2EDA" w:rsidRPr="00A23D7A">
              <w:rPr>
                <w:rFonts w:ascii="Arial" w:hAnsi="Arial" w:cs="Arial"/>
                <w:sz w:val="18"/>
                <w:szCs w:val="18"/>
              </w:rPr>
              <w:t>forem</w:t>
            </w:r>
            <w:r w:rsidRPr="00A23D7A">
              <w:rPr>
                <w:rFonts w:ascii="Arial" w:hAnsi="Arial" w:cs="Arial"/>
                <w:sz w:val="18"/>
                <w:szCs w:val="18"/>
              </w:rPr>
              <w:t xml:space="preserve"> cálculos, não cabe colocar como fonte;</w:t>
            </w:r>
          </w:p>
          <w:p w:rsidR="003A434F" w:rsidRPr="00A23D7A" w:rsidRDefault="003A434F"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Tabela 61 (pág. 161): o volume de lançamento da indústria é diferente do volume que é informado relativo à vazão lançada na pág. 91: 0,107 m</w:t>
            </w:r>
            <w:r w:rsidRPr="00A23D7A">
              <w:rPr>
                <w:rFonts w:ascii="Arial" w:hAnsi="Arial" w:cs="Arial"/>
                <w:sz w:val="18"/>
                <w:szCs w:val="18"/>
                <w:vertAlign w:val="superscript"/>
              </w:rPr>
              <w:t>3</w:t>
            </w:r>
            <w:r w:rsidRPr="00A23D7A">
              <w:rPr>
                <w:rFonts w:ascii="Arial" w:hAnsi="Arial" w:cs="Arial"/>
                <w:sz w:val="18"/>
                <w:szCs w:val="18"/>
              </w:rPr>
              <w:t>/s equivale a 9245 m</w:t>
            </w:r>
            <w:r w:rsidRPr="00A23D7A">
              <w:rPr>
                <w:rFonts w:ascii="Arial" w:hAnsi="Arial" w:cs="Arial"/>
                <w:sz w:val="18"/>
                <w:szCs w:val="18"/>
                <w:vertAlign w:val="superscript"/>
              </w:rPr>
              <w:t>3</w:t>
            </w:r>
            <w:r w:rsidRPr="00A23D7A">
              <w:rPr>
                <w:rFonts w:ascii="Arial" w:hAnsi="Arial" w:cs="Arial"/>
                <w:sz w:val="18"/>
                <w:szCs w:val="18"/>
              </w:rPr>
              <w:t xml:space="preserve">/dia </w:t>
            </w:r>
            <w:r w:rsidR="00BC2EDA" w:rsidRPr="00A23D7A">
              <w:rPr>
                <w:rFonts w:ascii="Arial" w:hAnsi="Arial" w:cs="Arial"/>
                <w:sz w:val="18"/>
                <w:szCs w:val="18"/>
              </w:rPr>
              <w:t xml:space="preserve">ou </w:t>
            </w:r>
            <w:r w:rsidRPr="00A23D7A">
              <w:rPr>
                <w:rFonts w:ascii="Arial" w:hAnsi="Arial" w:cs="Arial"/>
                <w:sz w:val="18"/>
                <w:szCs w:val="18"/>
              </w:rPr>
              <w:t>a 3.375.000 m</w:t>
            </w:r>
            <w:r w:rsidRPr="00A23D7A">
              <w:rPr>
                <w:rFonts w:ascii="Arial" w:hAnsi="Arial" w:cs="Arial"/>
                <w:sz w:val="18"/>
                <w:szCs w:val="18"/>
                <w:vertAlign w:val="superscript"/>
              </w:rPr>
              <w:t>3</w:t>
            </w:r>
            <w:r w:rsidRPr="00A23D7A">
              <w:rPr>
                <w:rFonts w:ascii="Arial" w:hAnsi="Arial" w:cs="Arial"/>
                <w:sz w:val="18"/>
                <w:szCs w:val="18"/>
              </w:rPr>
              <w:t>/ano. É preciso explicar porque os dois volumes de lançamento da tabela 61 são muito maiores do que o que consta no texto da pág. 91</w:t>
            </w:r>
            <w:r w:rsidR="00F236BE" w:rsidRPr="00A23D7A">
              <w:rPr>
                <w:rFonts w:ascii="Arial" w:hAnsi="Arial" w:cs="Arial"/>
                <w:sz w:val="18"/>
                <w:szCs w:val="18"/>
              </w:rPr>
              <w:t>;</w:t>
            </w:r>
          </w:p>
          <w:p w:rsidR="00F236BE" w:rsidRPr="00A23D7A" w:rsidRDefault="00F236BE"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Nas últimas colunas da tabela 57 (pág. 156) e na tabela 58 (pág. 157) é preciso colocar a unidade;</w:t>
            </w:r>
          </w:p>
          <w:p w:rsidR="00F236BE" w:rsidRPr="00A23D7A" w:rsidRDefault="00F236BE" w:rsidP="00D038AB">
            <w:pPr>
              <w:pStyle w:val="PargrafodaLista"/>
              <w:numPr>
                <w:ilvl w:val="0"/>
                <w:numId w:val="6"/>
              </w:numPr>
              <w:spacing w:after="0"/>
              <w:ind w:left="216" w:hanging="216"/>
              <w:jc w:val="both"/>
              <w:rPr>
                <w:rFonts w:ascii="Arial" w:eastAsia="Times New Roman" w:hAnsi="Arial" w:cs="Arial"/>
                <w:color w:val="000000"/>
                <w:sz w:val="18"/>
                <w:szCs w:val="18"/>
                <w:lang w:eastAsia="pt-BR"/>
              </w:rPr>
            </w:pPr>
            <w:r w:rsidRPr="00A23D7A">
              <w:rPr>
                <w:rFonts w:ascii="Arial" w:hAnsi="Arial" w:cs="Arial"/>
                <w:sz w:val="18"/>
                <w:szCs w:val="18"/>
              </w:rPr>
              <w:t>A tabela 73 (pág. 179) está boa, mas o texto não está claro. Precisa aprofundar a análise. Citar quais são os municípios com maiores percentuais de arrecadação pelo lançamento.</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IX. Avaliação dos impactos da cobrança sobre o preço econômico da água para irrigação e seu uso na atividade rural;</w:t>
            </w:r>
          </w:p>
        </w:tc>
        <w:tc>
          <w:tcPr>
            <w:tcW w:w="526" w:type="pct"/>
            <w:shd w:val="clear" w:color="auto" w:fill="auto"/>
            <w:noWrap/>
            <w:vAlign w:val="center"/>
          </w:tcPr>
          <w:p w:rsidR="0078548B" w:rsidRPr="00A445F7" w:rsidRDefault="00337D8D"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Não se aplica</w:t>
            </w:r>
          </w:p>
        </w:tc>
        <w:tc>
          <w:tcPr>
            <w:tcW w:w="2971" w:type="pct"/>
            <w:shd w:val="clear" w:color="000000" w:fill="FFFFFF"/>
            <w:vAlign w:val="center"/>
          </w:tcPr>
          <w:p w:rsidR="0078548B" w:rsidRPr="00A23D7A" w:rsidRDefault="00337D8D" w:rsidP="00D038AB">
            <w:pPr>
              <w:spacing w:after="0"/>
              <w:jc w:val="center"/>
              <w:rPr>
                <w:rFonts w:ascii="Arial" w:eastAsia="Times New Roman" w:hAnsi="Arial" w:cs="Arial"/>
                <w:color w:val="000000"/>
                <w:sz w:val="18"/>
                <w:szCs w:val="18"/>
                <w:lang w:eastAsia="pt-BR"/>
              </w:rPr>
            </w:pPr>
            <w:r w:rsidRPr="00A23D7A">
              <w:rPr>
                <w:rFonts w:ascii="Arial" w:eastAsia="Times New Roman" w:hAnsi="Arial" w:cs="Arial"/>
                <w:color w:val="000000"/>
                <w:sz w:val="18"/>
                <w:szCs w:val="18"/>
                <w:lang w:eastAsia="pt-BR"/>
              </w:rPr>
              <w:t>-</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X. Avaliação dos impactos da cobrança sobre o preço econômico da água para os usuários urbanos, prevendo-se o valor transferido para os consumidores residenciais e para as indústrias.</w:t>
            </w:r>
          </w:p>
        </w:tc>
        <w:tc>
          <w:tcPr>
            <w:tcW w:w="526" w:type="pct"/>
            <w:shd w:val="clear" w:color="auto" w:fill="auto"/>
            <w:vAlign w:val="center"/>
          </w:tcPr>
          <w:p w:rsidR="0078548B" w:rsidRPr="00A445F7" w:rsidRDefault="00337D8D"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Parcial</w:t>
            </w:r>
          </w:p>
        </w:tc>
        <w:tc>
          <w:tcPr>
            <w:tcW w:w="2971" w:type="pct"/>
            <w:shd w:val="clear" w:color="000000" w:fill="FFFFFF"/>
            <w:vAlign w:val="center"/>
          </w:tcPr>
          <w:p w:rsidR="0078548B" w:rsidRPr="00A23D7A" w:rsidRDefault="00337D8D"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 xml:space="preserve">Faltou </w:t>
            </w:r>
            <w:r w:rsidR="00347ED1" w:rsidRPr="00A23D7A">
              <w:rPr>
                <w:rFonts w:ascii="Arial" w:hAnsi="Arial" w:cs="Arial"/>
                <w:sz w:val="18"/>
                <w:szCs w:val="18"/>
              </w:rPr>
              <w:t xml:space="preserve">a </w:t>
            </w:r>
            <w:r w:rsidRPr="00A23D7A">
              <w:rPr>
                <w:rFonts w:ascii="Arial" w:hAnsi="Arial" w:cs="Arial"/>
                <w:sz w:val="18"/>
                <w:szCs w:val="18"/>
              </w:rPr>
              <w:t>an</w:t>
            </w:r>
            <w:r w:rsidR="00F51E5D" w:rsidRPr="00A23D7A">
              <w:rPr>
                <w:rFonts w:ascii="Arial" w:hAnsi="Arial" w:cs="Arial"/>
                <w:sz w:val="18"/>
                <w:szCs w:val="18"/>
              </w:rPr>
              <w:t>á</w:t>
            </w:r>
            <w:r w:rsidRPr="00A23D7A">
              <w:rPr>
                <w:rFonts w:ascii="Arial" w:hAnsi="Arial" w:cs="Arial"/>
                <w:sz w:val="18"/>
                <w:szCs w:val="18"/>
              </w:rPr>
              <w:t>lis</w:t>
            </w:r>
            <w:r w:rsidR="00347ED1" w:rsidRPr="00A23D7A">
              <w:rPr>
                <w:rFonts w:ascii="Arial" w:hAnsi="Arial" w:cs="Arial"/>
                <w:sz w:val="18"/>
                <w:szCs w:val="18"/>
              </w:rPr>
              <w:t>e</w:t>
            </w:r>
            <w:r w:rsidRPr="00A23D7A">
              <w:rPr>
                <w:rFonts w:ascii="Arial" w:hAnsi="Arial" w:cs="Arial"/>
                <w:sz w:val="18"/>
                <w:szCs w:val="18"/>
              </w:rPr>
              <w:t xml:space="preserve"> </w:t>
            </w:r>
            <w:r w:rsidR="00347ED1" w:rsidRPr="00A23D7A">
              <w:rPr>
                <w:rFonts w:ascii="Arial" w:hAnsi="Arial" w:cs="Arial"/>
                <w:sz w:val="18"/>
                <w:szCs w:val="18"/>
              </w:rPr>
              <w:t>d</w:t>
            </w:r>
            <w:r w:rsidRPr="00A23D7A">
              <w:rPr>
                <w:rFonts w:ascii="Arial" w:hAnsi="Arial" w:cs="Arial"/>
                <w:sz w:val="18"/>
                <w:szCs w:val="18"/>
              </w:rPr>
              <w:t>a tabela 72 (pág.178): os valores apresentados são considerados altos ou baixos? Sugere-se compará-los com a tarifa média por município;</w:t>
            </w:r>
          </w:p>
          <w:p w:rsidR="00337D8D" w:rsidRPr="00A23D7A" w:rsidRDefault="00337D8D"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Para a unidade dos dados da tabela 72, o mais correto é “R$/</w:t>
            </w:r>
            <w:proofErr w:type="spellStart"/>
            <w:r w:rsidRPr="00A23D7A">
              <w:rPr>
                <w:rFonts w:ascii="Arial" w:hAnsi="Arial" w:cs="Arial"/>
                <w:sz w:val="18"/>
                <w:szCs w:val="18"/>
              </w:rPr>
              <w:t>hab.ano</w:t>
            </w:r>
            <w:proofErr w:type="spellEnd"/>
            <w:r w:rsidRPr="00A23D7A">
              <w:rPr>
                <w:rFonts w:ascii="Arial" w:hAnsi="Arial" w:cs="Arial"/>
                <w:sz w:val="18"/>
                <w:szCs w:val="18"/>
              </w:rPr>
              <w:t>”;</w:t>
            </w:r>
          </w:p>
          <w:p w:rsidR="00337D8D" w:rsidRPr="00A23D7A" w:rsidRDefault="00337D8D" w:rsidP="00D038AB">
            <w:pPr>
              <w:pStyle w:val="PargrafodaLista"/>
              <w:numPr>
                <w:ilvl w:val="0"/>
                <w:numId w:val="6"/>
              </w:numPr>
              <w:spacing w:after="0"/>
              <w:ind w:left="216" w:hanging="216"/>
              <w:jc w:val="both"/>
              <w:rPr>
                <w:rFonts w:ascii="Arial" w:eastAsia="Times New Roman" w:hAnsi="Arial" w:cs="Arial"/>
                <w:sz w:val="18"/>
                <w:szCs w:val="18"/>
                <w:lang w:eastAsia="pt-BR"/>
              </w:rPr>
            </w:pPr>
            <w:r w:rsidRPr="00A23D7A">
              <w:rPr>
                <w:rFonts w:ascii="Arial" w:hAnsi="Arial" w:cs="Arial"/>
                <w:sz w:val="18"/>
                <w:szCs w:val="18"/>
              </w:rPr>
              <w:t>Rever os valores da tabela 72 se houver alteração de valores nos itens anteriores.</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XI. Avaliação dos impactos da cobrança sobre o preço econômico da água para os setores usuários industriais enfocando os custos de produção.</w:t>
            </w:r>
          </w:p>
        </w:tc>
        <w:tc>
          <w:tcPr>
            <w:tcW w:w="526" w:type="pct"/>
            <w:shd w:val="clear" w:color="auto" w:fill="auto"/>
            <w:noWrap/>
            <w:vAlign w:val="center"/>
          </w:tcPr>
          <w:p w:rsidR="0078548B" w:rsidRPr="00A445F7" w:rsidRDefault="00337D8D"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Parcial</w:t>
            </w:r>
          </w:p>
        </w:tc>
        <w:tc>
          <w:tcPr>
            <w:tcW w:w="2971" w:type="pct"/>
            <w:shd w:val="clear" w:color="000000" w:fill="FFFFFF"/>
            <w:vAlign w:val="center"/>
          </w:tcPr>
          <w:p w:rsidR="00F42903" w:rsidRPr="00A23D7A" w:rsidRDefault="00F42903"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Tabela 74 (pág. 180): rever o título da tabela, que não está coerente, e as unidades. Além disso, a fonte apresentada não consta nas referências. Recomenda-se reavaliar a necessidade das tabelas 74 e 75 e texto respectivo</w:t>
            </w:r>
            <w:r w:rsidR="00EE7EAB" w:rsidRPr="00A23D7A">
              <w:rPr>
                <w:rFonts w:ascii="Arial" w:hAnsi="Arial" w:cs="Arial"/>
                <w:sz w:val="18"/>
                <w:szCs w:val="18"/>
              </w:rPr>
              <w:t>. Caso mantenha, rever título, unidades e fonte</w:t>
            </w:r>
            <w:r w:rsidRPr="00A23D7A">
              <w:rPr>
                <w:rFonts w:ascii="Arial" w:hAnsi="Arial" w:cs="Arial"/>
                <w:sz w:val="18"/>
                <w:szCs w:val="18"/>
              </w:rPr>
              <w:t>;</w:t>
            </w:r>
          </w:p>
          <w:p w:rsidR="00F42903" w:rsidRPr="00A23D7A" w:rsidRDefault="00F42903" w:rsidP="00D038AB">
            <w:pPr>
              <w:pStyle w:val="PargrafodaLista"/>
              <w:numPr>
                <w:ilvl w:val="0"/>
                <w:numId w:val="6"/>
              </w:numPr>
              <w:spacing w:after="0"/>
              <w:ind w:left="216" w:hanging="216"/>
              <w:jc w:val="both"/>
              <w:rPr>
                <w:rFonts w:ascii="Arial" w:eastAsia="Times New Roman" w:hAnsi="Arial" w:cs="Arial"/>
                <w:color w:val="000000"/>
                <w:sz w:val="18"/>
                <w:szCs w:val="18"/>
                <w:lang w:eastAsia="pt-BR"/>
              </w:rPr>
            </w:pPr>
            <w:r w:rsidRPr="00A23D7A">
              <w:rPr>
                <w:rFonts w:ascii="Arial" w:hAnsi="Arial" w:cs="Arial"/>
                <w:sz w:val="18"/>
                <w:szCs w:val="18"/>
              </w:rPr>
              <w:lastRenderedPageBreak/>
              <w:t xml:space="preserve">Explicar a metodologia utilizada para chegar à tabela 77 (pág. 183), pois possui difícil entendimento. Abaixo da tabela há </w:t>
            </w:r>
            <w:r w:rsidR="00347ED1" w:rsidRPr="00A23D7A">
              <w:rPr>
                <w:rFonts w:ascii="Arial" w:hAnsi="Arial" w:cs="Arial"/>
                <w:sz w:val="18"/>
                <w:szCs w:val="18"/>
              </w:rPr>
              <w:t xml:space="preserve">um item </w:t>
            </w:r>
            <w:r w:rsidRPr="00A23D7A">
              <w:rPr>
                <w:rFonts w:ascii="Arial" w:hAnsi="Arial" w:cs="Arial"/>
                <w:sz w:val="18"/>
                <w:szCs w:val="18"/>
              </w:rPr>
              <w:t>“</w:t>
            </w:r>
            <w:r w:rsidR="00347ED1" w:rsidRPr="00A23D7A">
              <w:rPr>
                <w:rFonts w:ascii="Arial" w:hAnsi="Arial" w:cs="Arial"/>
                <w:sz w:val="18"/>
                <w:szCs w:val="18"/>
              </w:rPr>
              <w:t>NOTAS</w:t>
            </w:r>
            <w:r w:rsidRPr="00A23D7A">
              <w:rPr>
                <w:rFonts w:ascii="Arial" w:hAnsi="Arial" w:cs="Arial"/>
                <w:sz w:val="18"/>
                <w:szCs w:val="18"/>
              </w:rPr>
              <w:t xml:space="preserve">”, porém não há como saber até </w:t>
            </w:r>
            <w:r w:rsidR="00347ED1" w:rsidRPr="00A23D7A">
              <w:rPr>
                <w:rFonts w:ascii="Arial" w:hAnsi="Arial" w:cs="Arial"/>
                <w:sz w:val="18"/>
                <w:szCs w:val="18"/>
              </w:rPr>
              <w:t xml:space="preserve">que trecho do texto são as “NOTAS” </w:t>
            </w:r>
            <w:r w:rsidRPr="00A23D7A">
              <w:rPr>
                <w:rFonts w:ascii="Arial" w:hAnsi="Arial" w:cs="Arial"/>
                <w:sz w:val="18"/>
                <w:szCs w:val="18"/>
              </w:rPr>
              <w:t xml:space="preserve">e onde </w:t>
            </w:r>
            <w:r w:rsidR="00347ED1" w:rsidRPr="00A23D7A">
              <w:rPr>
                <w:rFonts w:ascii="Arial" w:hAnsi="Arial" w:cs="Arial"/>
                <w:sz w:val="18"/>
                <w:szCs w:val="18"/>
              </w:rPr>
              <w:t xml:space="preserve">recomeça </w:t>
            </w:r>
            <w:r w:rsidRPr="00A23D7A">
              <w:rPr>
                <w:rFonts w:ascii="Arial" w:hAnsi="Arial" w:cs="Arial"/>
                <w:sz w:val="18"/>
                <w:szCs w:val="18"/>
              </w:rPr>
              <w:t>o texto</w:t>
            </w:r>
            <w:r w:rsidR="00347ED1" w:rsidRPr="00A23D7A">
              <w:rPr>
                <w:rFonts w:ascii="Arial" w:hAnsi="Arial" w:cs="Arial"/>
                <w:sz w:val="18"/>
                <w:szCs w:val="18"/>
              </w:rPr>
              <w:t xml:space="preserve"> do Estudo</w:t>
            </w:r>
            <w:r w:rsidRPr="00A23D7A">
              <w:rPr>
                <w:rFonts w:ascii="Arial" w:hAnsi="Arial" w:cs="Arial"/>
                <w:sz w:val="18"/>
                <w:szCs w:val="18"/>
              </w:rPr>
              <w:t>. Sugere-se colocar as “notas” em uma fonte diferente para distinguir.</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lastRenderedPageBreak/>
              <w:t>XII. Es</w:t>
            </w:r>
            <w:r w:rsidR="00F51E5D">
              <w:rPr>
                <w:rFonts w:ascii="Arial" w:eastAsia="Times New Roman" w:hAnsi="Arial" w:cs="Arial"/>
                <w:color w:val="000000"/>
                <w:sz w:val="18"/>
                <w:szCs w:val="18"/>
                <w:lang w:eastAsia="pt-BR"/>
              </w:rPr>
              <w:t>timativa de usos outorgados e nú</w:t>
            </w:r>
            <w:r w:rsidRPr="00A445F7">
              <w:rPr>
                <w:rFonts w:ascii="Arial" w:eastAsia="Times New Roman" w:hAnsi="Arial" w:cs="Arial"/>
                <w:color w:val="000000"/>
                <w:sz w:val="18"/>
                <w:szCs w:val="18"/>
                <w:lang w:eastAsia="pt-BR"/>
              </w:rPr>
              <w:t>mero de usuários, estimativa de usuários ainda não integrados ao sistema.</w:t>
            </w:r>
          </w:p>
        </w:tc>
        <w:tc>
          <w:tcPr>
            <w:tcW w:w="526" w:type="pct"/>
            <w:shd w:val="clear" w:color="auto" w:fill="auto"/>
            <w:noWrap/>
            <w:vAlign w:val="center"/>
          </w:tcPr>
          <w:p w:rsidR="0078548B" w:rsidRPr="00A445F7" w:rsidRDefault="00F42903"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Parcial</w:t>
            </w:r>
          </w:p>
        </w:tc>
        <w:tc>
          <w:tcPr>
            <w:tcW w:w="2971" w:type="pct"/>
            <w:shd w:val="clear" w:color="000000" w:fill="FFFFFF"/>
            <w:vAlign w:val="center"/>
          </w:tcPr>
          <w:p w:rsidR="0078548B" w:rsidRPr="00A23D7A" w:rsidRDefault="00F42903"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Na figura 58 (pág. 186) é necessário verificar qual é a fonte correta, pois consta “Irrigart, 2010” e nas referências está “Irrigart, 2011”;</w:t>
            </w:r>
          </w:p>
          <w:p w:rsidR="00F42903" w:rsidRPr="00A23D7A" w:rsidRDefault="00F42903" w:rsidP="00D038AB">
            <w:pPr>
              <w:pStyle w:val="PargrafodaLista"/>
              <w:numPr>
                <w:ilvl w:val="0"/>
                <w:numId w:val="6"/>
              </w:numPr>
              <w:spacing w:after="0"/>
              <w:ind w:left="216" w:hanging="216"/>
              <w:jc w:val="both"/>
              <w:rPr>
                <w:rFonts w:ascii="Arial" w:hAnsi="Arial" w:cs="Arial"/>
                <w:sz w:val="18"/>
                <w:szCs w:val="18"/>
              </w:rPr>
            </w:pPr>
            <w:r w:rsidRPr="00A23D7A">
              <w:rPr>
                <w:rFonts w:ascii="Arial" w:hAnsi="Arial" w:cs="Arial"/>
                <w:sz w:val="18"/>
                <w:szCs w:val="18"/>
              </w:rPr>
              <w:t>Texto da pág. 186 cita a figura 58, mas o correto é citar a figura 59;</w:t>
            </w:r>
          </w:p>
          <w:p w:rsidR="0054147C" w:rsidRPr="00A23D7A" w:rsidRDefault="00F42903" w:rsidP="0054147C">
            <w:pPr>
              <w:pStyle w:val="PargrafodaLista"/>
              <w:numPr>
                <w:ilvl w:val="0"/>
                <w:numId w:val="6"/>
              </w:numPr>
              <w:spacing w:after="0"/>
              <w:ind w:left="216" w:hanging="216"/>
              <w:jc w:val="both"/>
              <w:rPr>
                <w:rFonts w:ascii="Arial" w:eastAsia="Times New Roman" w:hAnsi="Arial" w:cs="Arial"/>
                <w:color w:val="000000"/>
                <w:sz w:val="18"/>
                <w:szCs w:val="18"/>
                <w:lang w:eastAsia="pt-BR"/>
              </w:rPr>
            </w:pPr>
            <w:r w:rsidRPr="00A23D7A">
              <w:rPr>
                <w:rFonts w:ascii="Arial" w:hAnsi="Arial" w:cs="Arial"/>
                <w:sz w:val="18"/>
                <w:szCs w:val="18"/>
              </w:rPr>
              <w:t>Fonte da figura 59 não consta nas referências</w:t>
            </w:r>
            <w:r w:rsidR="0054147C" w:rsidRPr="00A23D7A">
              <w:rPr>
                <w:rFonts w:ascii="Arial" w:hAnsi="Arial" w:cs="Arial"/>
                <w:sz w:val="18"/>
                <w:szCs w:val="18"/>
              </w:rPr>
              <w:t>;</w:t>
            </w:r>
          </w:p>
          <w:p w:rsidR="00F42903" w:rsidRPr="00A23D7A" w:rsidRDefault="0054147C" w:rsidP="0054147C">
            <w:pPr>
              <w:pStyle w:val="PargrafodaLista"/>
              <w:numPr>
                <w:ilvl w:val="0"/>
                <w:numId w:val="6"/>
              </w:numPr>
              <w:spacing w:after="0"/>
              <w:ind w:left="216" w:hanging="216"/>
              <w:jc w:val="both"/>
              <w:rPr>
                <w:rFonts w:ascii="Arial" w:eastAsia="Times New Roman" w:hAnsi="Arial" w:cs="Arial"/>
                <w:color w:val="000000"/>
                <w:sz w:val="18"/>
                <w:szCs w:val="18"/>
                <w:lang w:eastAsia="pt-BR"/>
              </w:rPr>
            </w:pPr>
            <w:r w:rsidRPr="00A23D7A">
              <w:rPr>
                <w:rFonts w:ascii="Arial" w:hAnsi="Arial" w:cs="Arial"/>
                <w:sz w:val="18"/>
                <w:szCs w:val="18"/>
              </w:rPr>
              <w:t>Faltou incluir unidade na figura 60</w:t>
            </w:r>
            <w:r w:rsidR="00F42903" w:rsidRPr="00A23D7A">
              <w:rPr>
                <w:rFonts w:ascii="Arial" w:hAnsi="Arial" w:cs="Arial"/>
                <w:sz w:val="18"/>
                <w:szCs w:val="18"/>
              </w:rPr>
              <w:t>.</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 xml:space="preserve">XIII. Justificativa dos </w:t>
            </w:r>
            <w:proofErr w:type="spellStart"/>
            <w:r w:rsidRPr="00A445F7">
              <w:rPr>
                <w:rFonts w:ascii="Arial" w:eastAsia="Times New Roman" w:hAnsi="Arial" w:cs="Arial"/>
                <w:color w:val="000000"/>
                <w:sz w:val="18"/>
                <w:szCs w:val="18"/>
                <w:lang w:eastAsia="pt-BR"/>
              </w:rPr>
              <w:t>PUBs</w:t>
            </w:r>
            <w:proofErr w:type="spellEnd"/>
            <w:r w:rsidRPr="00A445F7">
              <w:rPr>
                <w:rFonts w:ascii="Arial" w:eastAsia="Times New Roman" w:hAnsi="Arial" w:cs="Arial"/>
                <w:color w:val="000000"/>
                <w:sz w:val="18"/>
                <w:szCs w:val="18"/>
                <w:lang w:eastAsia="pt-BR"/>
              </w:rPr>
              <w:t>, bases de cálculo e coeficientes ponderadores a serem adotados para captação, consumo e carga poluidora na UGRHI.</w:t>
            </w:r>
          </w:p>
        </w:tc>
        <w:tc>
          <w:tcPr>
            <w:tcW w:w="526" w:type="pct"/>
            <w:shd w:val="clear" w:color="auto" w:fill="auto"/>
            <w:noWrap/>
            <w:vAlign w:val="center"/>
          </w:tcPr>
          <w:p w:rsidR="0078548B" w:rsidRPr="00A445F7" w:rsidRDefault="007C71FB"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Parcial</w:t>
            </w:r>
          </w:p>
        </w:tc>
        <w:tc>
          <w:tcPr>
            <w:tcW w:w="2971" w:type="pct"/>
            <w:shd w:val="clear" w:color="000000" w:fill="FFFFFF"/>
            <w:vAlign w:val="center"/>
          </w:tcPr>
          <w:p w:rsidR="00F42903" w:rsidRPr="00A23D7A" w:rsidRDefault="00F42903" w:rsidP="00D038AB">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Tabela 38 (pág. 127): colocar um quadrado ao redor do valor “1” referente à transposição não existente, já que é uma transcrição da Deliberação CRH nº 90/2008;</w:t>
            </w:r>
          </w:p>
          <w:p w:rsidR="0078548B" w:rsidRPr="00A23D7A" w:rsidRDefault="004635BE" w:rsidP="00D038AB">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Rever a informação da pág. 129 que diz não haver classificação para água subterrânea. Classificação existe, pela Resolução CONAMA 396, o que não existe é enquadramento;</w:t>
            </w:r>
          </w:p>
          <w:p w:rsidR="004635BE" w:rsidRPr="00A23D7A" w:rsidRDefault="004635BE" w:rsidP="00D038AB">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Melhorar a explicação do coeficiente X3 (pág. 130), pois dá a entender que será utilizado somente o valor 0,9;</w:t>
            </w:r>
          </w:p>
          <w:p w:rsidR="004635BE" w:rsidRPr="00A23D7A" w:rsidRDefault="004635BE" w:rsidP="00D038AB">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 xml:space="preserve">Corrigir a informação da pág. 133 que diz que para o coeficiente X13 a </w:t>
            </w:r>
            <w:proofErr w:type="spellStart"/>
            <w:r w:rsidRPr="00A23D7A">
              <w:rPr>
                <w:rFonts w:ascii="Arial" w:hAnsi="Arial" w:cs="Arial"/>
                <w:sz w:val="18"/>
              </w:rPr>
              <w:t>Delib</w:t>
            </w:r>
            <w:proofErr w:type="spellEnd"/>
            <w:r w:rsidRPr="00A23D7A">
              <w:rPr>
                <w:rFonts w:ascii="Arial" w:hAnsi="Arial" w:cs="Arial"/>
                <w:sz w:val="18"/>
              </w:rPr>
              <w:t>. CRH 90 determina que quando há transposição o valor deve ser 1,0. A manutenção do valor 1,0 é só para quando não tem transposição;</w:t>
            </w:r>
          </w:p>
          <w:p w:rsidR="004635BE" w:rsidRPr="00A23D7A" w:rsidRDefault="004635BE" w:rsidP="00D038AB">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Esclarecer de onde vieram algumas siglas utilizadas nas fórmulas (</w:t>
            </w:r>
            <w:proofErr w:type="spellStart"/>
            <w:r w:rsidRPr="00A23D7A">
              <w:rPr>
                <w:rFonts w:ascii="Arial" w:hAnsi="Arial" w:cs="Arial"/>
                <w:sz w:val="18"/>
              </w:rPr>
              <w:t>ex</w:t>
            </w:r>
            <w:proofErr w:type="spellEnd"/>
            <w:r w:rsidRPr="00A23D7A">
              <w:rPr>
                <w:rFonts w:ascii="Arial" w:hAnsi="Arial" w:cs="Arial"/>
                <w:sz w:val="18"/>
              </w:rPr>
              <w:t>: FC, FER)</w:t>
            </w:r>
            <w:r w:rsidR="00C42637" w:rsidRPr="00A23D7A">
              <w:rPr>
                <w:rFonts w:ascii="Arial" w:hAnsi="Arial" w:cs="Arial"/>
                <w:sz w:val="18"/>
              </w:rPr>
              <w:t>. Inserir fórmula do FC</w:t>
            </w:r>
            <w:r w:rsidRPr="00A23D7A">
              <w:rPr>
                <w:rFonts w:ascii="Arial" w:hAnsi="Arial" w:cs="Arial"/>
                <w:sz w:val="18"/>
              </w:rPr>
              <w:t>;</w:t>
            </w:r>
          </w:p>
          <w:p w:rsidR="00EF54BB" w:rsidRPr="00A23D7A" w:rsidRDefault="004635BE" w:rsidP="001D35AE">
            <w:pPr>
              <w:pStyle w:val="PargrafodaLista"/>
              <w:numPr>
                <w:ilvl w:val="0"/>
                <w:numId w:val="7"/>
              </w:numPr>
              <w:spacing w:after="0"/>
              <w:ind w:left="216" w:hanging="216"/>
              <w:jc w:val="both"/>
              <w:rPr>
                <w:rFonts w:ascii="Arial" w:eastAsia="Times New Roman" w:hAnsi="Arial" w:cs="Arial"/>
                <w:color w:val="000000"/>
                <w:sz w:val="18"/>
                <w:szCs w:val="18"/>
                <w:lang w:eastAsia="pt-BR"/>
              </w:rPr>
            </w:pPr>
            <w:r w:rsidRPr="00A23D7A">
              <w:rPr>
                <w:rFonts w:ascii="Arial" w:hAnsi="Arial" w:cs="Arial"/>
                <w:sz w:val="18"/>
              </w:rPr>
              <w:t>Rever a informação constante no 2º parágrafo da pág. 138 que diz que o GTECA optou por compensar os usuários de recursos hídricos que possuem tratamento superior a 80%, pois essa compensação já é obrigatória segundo o § 2º do artigo 12 do Decreto 50.667/2006.</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XIV. Estabelecimento da forma de cobrança, valor mínimo para emissão de boleto, periodicidade da cobrança, forma de progressividade, caso pertinente.</w:t>
            </w:r>
          </w:p>
        </w:tc>
        <w:tc>
          <w:tcPr>
            <w:tcW w:w="526" w:type="pct"/>
            <w:shd w:val="clear" w:color="auto" w:fill="auto"/>
            <w:noWrap/>
            <w:vAlign w:val="center"/>
          </w:tcPr>
          <w:p w:rsidR="0078548B" w:rsidRPr="00A445F7" w:rsidRDefault="00F42903"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Parcial</w:t>
            </w:r>
          </w:p>
        </w:tc>
        <w:tc>
          <w:tcPr>
            <w:tcW w:w="2971" w:type="pct"/>
            <w:shd w:val="clear" w:color="000000" w:fill="FFFFFF"/>
            <w:vAlign w:val="center"/>
          </w:tcPr>
          <w:p w:rsidR="00140A21" w:rsidRPr="00A23D7A" w:rsidRDefault="00F42903" w:rsidP="00D038AB">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Texto da pág. 142: atualizar a Portaria DAEE sobre usos isentos de outorga, pois a mesma foi retificada em 19/04/2016;</w:t>
            </w:r>
          </w:p>
          <w:p w:rsidR="0011401F" w:rsidRPr="00A23D7A" w:rsidRDefault="00F42903" w:rsidP="0011401F">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Item 5.5: incluir</w:t>
            </w:r>
            <w:r w:rsidR="00990C96" w:rsidRPr="00A23D7A">
              <w:rPr>
                <w:rFonts w:ascii="Arial" w:hAnsi="Arial" w:cs="Arial"/>
                <w:sz w:val="18"/>
              </w:rPr>
              <w:t xml:space="preserve"> frase de</w:t>
            </w:r>
            <w:r w:rsidRPr="00A23D7A">
              <w:rPr>
                <w:rFonts w:ascii="Arial" w:hAnsi="Arial" w:cs="Arial"/>
                <w:sz w:val="18"/>
              </w:rPr>
              <w:t xml:space="preserve"> que não pode ocorrer retroatividade na cobrança pelo uso dos recursos hídricos</w:t>
            </w:r>
            <w:r w:rsidR="00A741F6" w:rsidRPr="00A23D7A">
              <w:rPr>
                <w:rFonts w:ascii="Arial" w:hAnsi="Arial" w:cs="Arial"/>
                <w:sz w:val="18"/>
              </w:rPr>
              <w:t>;</w:t>
            </w:r>
          </w:p>
          <w:p w:rsidR="00F42903" w:rsidRPr="00A23D7A" w:rsidRDefault="00A741F6" w:rsidP="0011401F">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Alterar redação</w:t>
            </w:r>
            <w:r w:rsidR="0058514B" w:rsidRPr="00A23D7A">
              <w:rPr>
                <w:rFonts w:ascii="Arial" w:hAnsi="Arial" w:cs="Arial"/>
                <w:sz w:val="18"/>
              </w:rPr>
              <w:t xml:space="preserve">, </w:t>
            </w:r>
            <w:r w:rsidRPr="00A23D7A">
              <w:rPr>
                <w:rFonts w:ascii="Arial" w:hAnsi="Arial" w:cs="Arial"/>
                <w:sz w:val="18"/>
              </w:rPr>
              <w:t>para determinar melhor a progressividade,</w:t>
            </w:r>
            <w:r w:rsidR="0058514B" w:rsidRPr="00A23D7A">
              <w:rPr>
                <w:rFonts w:ascii="Arial" w:hAnsi="Arial" w:cs="Arial"/>
                <w:sz w:val="18"/>
              </w:rPr>
              <w:t xml:space="preserve"> na pág. 144 do Estudo e na deliberação,</w:t>
            </w:r>
            <w:r w:rsidRPr="00A23D7A">
              <w:rPr>
                <w:rFonts w:ascii="Arial" w:hAnsi="Arial" w:cs="Arial"/>
                <w:sz w:val="18"/>
              </w:rPr>
              <w:t xml:space="preserve"> especificando se “1º ano de cobrança” equivale a </w:t>
            </w:r>
            <w:proofErr w:type="gramStart"/>
            <w:r w:rsidRPr="00A23D7A">
              <w:rPr>
                <w:rFonts w:ascii="Arial" w:hAnsi="Arial" w:cs="Arial"/>
                <w:sz w:val="18"/>
              </w:rPr>
              <w:t>“1º exercício fiscal” ou “primeiros 12</w:t>
            </w:r>
            <w:proofErr w:type="gramEnd"/>
            <w:r w:rsidRPr="00A23D7A">
              <w:rPr>
                <w:rFonts w:ascii="Arial" w:hAnsi="Arial" w:cs="Arial"/>
                <w:sz w:val="18"/>
              </w:rPr>
              <w:t xml:space="preserve"> meses”; e assim por diante.</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XV. Situação do CBH com relação ao atendimento ao Artigo 14 do Decreto n° 50.667.</w:t>
            </w:r>
          </w:p>
        </w:tc>
        <w:tc>
          <w:tcPr>
            <w:tcW w:w="526" w:type="pct"/>
            <w:shd w:val="clear" w:color="auto" w:fill="auto"/>
            <w:noWrap/>
            <w:vAlign w:val="center"/>
          </w:tcPr>
          <w:p w:rsidR="0078548B" w:rsidRPr="00A445F7" w:rsidRDefault="00F42903"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Parcial</w:t>
            </w:r>
          </w:p>
        </w:tc>
        <w:tc>
          <w:tcPr>
            <w:tcW w:w="2971" w:type="pct"/>
            <w:shd w:val="clear" w:color="000000" w:fill="FFFFFF"/>
            <w:vAlign w:val="center"/>
          </w:tcPr>
          <w:p w:rsidR="0078548B" w:rsidRPr="00A23D7A" w:rsidRDefault="00FB6C6E" w:rsidP="00D038AB">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Faltou item sobre a Deliberação do CBH (inciso IV do artigo 14 do Decreto 50.667/2006) no item 8 do Estudo;</w:t>
            </w:r>
          </w:p>
          <w:p w:rsidR="00FB6C6E" w:rsidRPr="00A23D7A" w:rsidRDefault="00FB6C6E" w:rsidP="00D038AB">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Pág. 189: cita que houve um contrato para realização do cadastro, mas não mostrou os resultados. Especificar melhor qual foi o escopo do projeto e informar se há um relatório com os resultados;</w:t>
            </w:r>
          </w:p>
          <w:p w:rsidR="00FB6C6E" w:rsidRPr="00A23D7A" w:rsidRDefault="00FB6C6E" w:rsidP="00D038AB">
            <w:pPr>
              <w:pStyle w:val="PargrafodaLista"/>
              <w:numPr>
                <w:ilvl w:val="0"/>
                <w:numId w:val="7"/>
              </w:numPr>
              <w:spacing w:after="0"/>
              <w:ind w:left="216" w:hanging="216"/>
              <w:jc w:val="both"/>
              <w:rPr>
                <w:rFonts w:ascii="Arial" w:eastAsia="Times New Roman" w:hAnsi="Arial" w:cs="Arial"/>
                <w:color w:val="000000"/>
                <w:sz w:val="18"/>
                <w:szCs w:val="18"/>
                <w:lang w:eastAsia="pt-BR"/>
              </w:rPr>
            </w:pPr>
            <w:r w:rsidRPr="00A23D7A">
              <w:rPr>
                <w:rFonts w:ascii="Arial" w:hAnsi="Arial" w:cs="Arial"/>
                <w:sz w:val="18"/>
              </w:rPr>
              <w:t>Item 8.3 (pág. 190): corrigir o número da Deliberação CRH sobre Plano de Bacia (a atual é a 146/2012).</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XVI. Composição da receita da cobrança segundo sua origem, setor de atividade, categoria de usuário e montante do valor a ser arrecadado.</w:t>
            </w:r>
          </w:p>
        </w:tc>
        <w:tc>
          <w:tcPr>
            <w:tcW w:w="526" w:type="pct"/>
            <w:shd w:val="clear" w:color="auto" w:fill="auto"/>
            <w:vAlign w:val="center"/>
          </w:tcPr>
          <w:p w:rsidR="0078548B" w:rsidRPr="00A445F7" w:rsidRDefault="004F7D28"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Parcial</w:t>
            </w:r>
          </w:p>
        </w:tc>
        <w:tc>
          <w:tcPr>
            <w:tcW w:w="2971" w:type="pct"/>
            <w:shd w:val="clear" w:color="000000" w:fill="FFFFFF"/>
            <w:vAlign w:val="center"/>
          </w:tcPr>
          <w:p w:rsidR="00040FA4" w:rsidRPr="00A23D7A" w:rsidRDefault="004F7D28" w:rsidP="00D038AB">
            <w:pPr>
              <w:pStyle w:val="PargrafodaLista"/>
              <w:numPr>
                <w:ilvl w:val="0"/>
                <w:numId w:val="7"/>
              </w:numPr>
              <w:spacing w:after="0"/>
              <w:ind w:left="216" w:hanging="216"/>
              <w:jc w:val="both"/>
              <w:rPr>
                <w:rFonts w:ascii="Arial" w:hAnsi="Arial" w:cs="Arial"/>
                <w:sz w:val="18"/>
              </w:rPr>
            </w:pPr>
            <w:r w:rsidRPr="00A23D7A">
              <w:rPr>
                <w:rFonts w:ascii="Arial" w:hAnsi="Arial" w:cs="Arial"/>
                <w:sz w:val="18"/>
              </w:rPr>
              <w:t xml:space="preserve">Explicar </w:t>
            </w:r>
            <w:r w:rsidR="00F51E5D" w:rsidRPr="00A23D7A">
              <w:rPr>
                <w:rFonts w:ascii="Arial" w:hAnsi="Arial" w:cs="Arial"/>
                <w:sz w:val="18"/>
              </w:rPr>
              <w:t xml:space="preserve">e explicitar no texto </w:t>
            </w:r>
            <w:r w:rsidRPr="00A23D7A">
              <w:rPr>
                <w:rFonts w:ascii="Arial" w:hAnsi="Arial" w:cs="Arial"/>
                <w:sz w:val="18"/>
              </w:rPr>
              <w:t>que para a simulação de uso urbano foram usados valores teóricos, por isso há diferença entre os volumes de uso urbano do cadastro e da simulação;</w:t>
            </w:r>
          </w:p>
          <w:p w:rsidR="004F7D28" w:rsidRPr="00A23D7A" w:rsidRDefault="004F7D28" w:rsidP="00D038AB">
            <w:pPr>
              <w:pStyle w:val="PargrafodaLista"/>
              <w:numPr>
                <w:ilvl w:val="0"/>
                <w:numId w:val="7"/>
              </w:numPr>
              <w:spacing w:after="0"/>
              <w:ind w:left="216" w:hanging="216"/>
              <w:jc w:val="both"/>
              <w:rPr>
                <w:rFonts w:ascii="Arial" w:eastAsia="Times New Roman" w:hAnsi="Arial" w:cs="Arial"/>
                <w:sz w:val="18"/>
                <w:szCs w:val="18"/>
                <w:lang w:eastAsia="pt-BR"/>
              </w:rPr>
            </w:pPr>
            <w:r w:rsidRPr="00A23D7A">
              <w:rPr>
                <w:rFonts w:ascii="Arial" w:hAnsi="Arial" w:cs="Arial"/>
                <w:sz w:val="18"/>
              </w:rPr>
              <w:t>Especificar de onde vieram os volumes e os valores monetários da tabela 69 (pág.174). Colocar a carga de lançamento na tabela;</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XVII. Planos de investimentos para aplicação dos recursos em obras/ações previstas no PBH, para atendimento às metas estabelecidas, e parcelas dos investimentos a serem cobertos com o produto da cobrança.</w:t>
            </w:r>
          </w:p>
        </w:tc>
        <w:tc>
          <w:tcPr>
            <w:tcW w:w="526" w:type="pct"/>
            <w:shd w:val="clear" w:color="auto" w:fill="auto"/>
            <w:vAlign w:val="center"/>
          </w:tcPr>
          <w:p w:rsidR="0078548B" w:rsidRPr="00A445F7" w:rsidRDefault="004F7D28"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Parcial</w:t>
            </w:r>
          </w:p>
        </w:tc>
        <w:tc>
          <w:tcPr>
            <w:tcW w:w="2971" w:type="pct"/>
            <w:shd w:val="clear" w:color="000000" w:fill="FFFFFF"/>
            <w:vAlign w:val="center"/>
          </w:tcPr>
          <w:p w:rsidR="0078548B" w:rsidRPr="004F7D28" w:rsidRDefault="004F7D28" w:rsidP="00D038AB">
            <w:pPr>
              <w:pStyle w:val="PargrafodaLista"/>
              <w:numPr>
                <w:ilvl w:val="0"/>
                <w:numId w:val="15"/>
              </w:numPr>
              <w:spacing w:after="0"/>
              <w:ind w:left="216" w:hanging="216"/>
              <w:jc w:val="both"/>
              <w:rPr>
                <w:rFonts w:ascii="Arial" w:eastAsia="Times New Roman" w:hAnsi="Arial" w:cs="Arial"/>
                <w:sz w:val="18"/>
                <w:szCs w:val="18"/>
                <w:lang w:eastAsia="pt-BR"/>
              </w:rPr>
            </w:pPr>
            <w:r>
              <w:rPr>
                <w:rFonts w:ascii="Arial" w:eastAsia="Times New Roman" w:hAnsi="Arial" w:cs="Arial"/>
                <w:sz w:val="18"/>
                <w:szCs w:val="18"/>
                <w:lang w:eastAsia="pt-BR"/>
              </w:rPr>
              <w:t>Verificar os comentários do item VII.</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XVIII. Histórico do uso dos recursos do FEHIDRO na UGRHI.</w:t>
            </w:r>
          </w:p>
        </w:tc>
        <w:tc>
          <w:tcPr>
            <w:tcW w:w="526" w:type="pct"/>
            <w:shd w:val="clear" w:color="auto" w:fill="auto"/>
            <w:noWrap/>
            <w:vAlign w:val="center"/>
          </w:tcPr>
          <w:p w:rsidR="0078548B" w:rsidRPr="00A445F7" w:rsidRDefault="004F7D28"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Sim</w:t>
            </w:r>
          </w:p>
        </w:tc>
        <w:tc>
          <w:tcPr>
            <w:tcW w:w="2971" w:type="pct"/>
            <w:shd w:val="clear" w:color="000000" w:fill="FFFFFF"/>
            <w:vAlign w:val="center"/>
          </w:tcPr>
          <w:p w:rsidR="0078548B" w:rsidRPr="004F7D28" w:rsidRDefault="004F7D28" w:rsidP="00D038AB">
            <w:pPr>
              <w:pStyle w:val="PargrafodaLista"/>
              <w:numPr>
                <w:ilvl w:val="0"/>
                <w:numId w:val="7"/>
              </w:numPr>
              <w:spacing w:after="0"/>
              <w:ind w:left="216" w:hanging="216"/>
              <w:jc w:val="both"/>
              <w:rPr>
                <w:rFonts w:ascii="Arial" w:hAnsi="Arial" w:cs="Arial"/>
                <w:sz w:val="18"/>
              </w:rPr>
            </w:pPr>
            <w:r w:rsidRPr="004F7D28">
              <w:rPr>
                <w:rFonts w:ascii="Arial" w:hAnsi="Arial" w:cs="Arial"/>
                <w:sz w:val="18"/>
              </w:rPr>
              <w:t>Sugestão: na tabela 32 (pág. 114) colocar os números dos PDCs e especificar o percentual que cada um corresponde do total aplicado.</w:t>
            </w:r>
          </w:p>
        </w:tc>
      </w:tr>
      <w:tr w:rsidR="00395CE1" w:rsidRPr="00A445F7" w:rsidTr="00D038AB">
        <w:trPr>
          <w:trHeight w:val="20"/>
        </w:trPr>
        <w:tc>
          <w:tcPr>
            <w:tcW w:w="1503" w:type="pct"/>
            <w:shd w:val="clear" w:color="000000" w:fill="FFFFFF"/>
            <w:vAlign w:val="center"/>
            <w:hideMark/>
          </w:tcPr>
          <w:p w:rsidR="0078548B" w:rsidRPr="00A445F7" w:rsidRDefault="0078548B" w:rsidP="00D038AB">
            <w:pPr>
              <w:spacing w:after="0"/>
              <w:jc w:val="both"/>
              <w:rPr>
                <w:rFonts w:ascii="Arial" w:eastAsia="Times New Roman" w:hAnsi="Arial" w:cs="Arial"/>
                <w:color w:val="000000"/>
                <w:sz w:val="18"/>
                <w:szCs w:val="18"/>
                <w:lang w:eastAsia="pt-BR"/>
              </w:rPr>
            </w:pPr>
            <w:r w:rsidRPr="00A445F7">
              <w:rPr>
                <w:rFonts w:ascii="Arial" w:eastAsia="Times New Roman" w:hAnsi="Arial" w:cs="Arial"/>
                <w:color w:val="000000"/>
                <w:sz w:val="18"/>
                <w:szCs w:val="18"/>
                <w:lang w:eastAsia="pt-BR"/>
              </w:rPr>
              <w:t>XIX. Estrutura existente e desempenho da entidade responsável pela cobrança.</w:t>
            </w:r>
          </w:p>
        </w:tc>
        <w:tc>
          <w:tcPr>
            <w:tcW w:w="526" w:type="pct"/>
            <w:shd w:val="clear" w:color="auto" w:fill="auto"/>
            <w:noWrap/>
            <w:vAlign w:val="center"/>
          </w:tcPr>
          <w:p w:rsidR="0078548B" w:rsidRPr="00A445F7" w:rsidRDefault="0076138A" w:rsidP="00D038AB">
            <w:pPr>
              <w:spacing w:after="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Sim</w:t>
            </w:r>
          </w:p>
        </w:tc>
        <w:tc>
          <w:tcPr>
            <w:tcW w:w="2971" w:type="pct"/>
            <w:shd w:val="clear" w:color="000000" w:fill="FFFFFF"/>
            <w:vAlign w:val="center"/>
          </w:tcPr>
          <w:p w:rsidR="0078548B" w:rsidRPr="00E25473" w:rsidRDefault="00E25473" w:rsidP="00F51E5D">
            <w:pPr>
              <w:pStyle w:val="PargrafodaLista"/>
              <w:numPr>
                <w:ilvl w:val="0"/>
                <w:numId w:val="7"/>
              </w:numPr>
              <w:spacing w:after="0"/>
              <w:ind w:left="216" w:hanging="216"/>
              <w:jc w:val="both"/>
              <w:rPr>
                <w:rFonts w:ascii="Arial" w:hAnsi="Arial" w:cs="Arial"/>
                <w:sz w:val="18"/>
              </w:rPr>
            </w:pPr>
            <w:r w:rsidRPr="00E25473">
              <w:rPr>
                <w:rFonts w:ascii="Arial" w:hAnsi="Arial" w:cs="Arial"/>
                <w:sz w:val="18"/>
              </w:rPr>
              <w:t xml:space="preserve">Reavaliar a necessidade do último parágrafo do item 8.6 (pág. 192) visto que </w:t>
            </w:r>
            <w:r w:rsidR="00F51E5D">
              <w:rPr>
                <w:rFonts w:ascii="Arial" w:hAnsi="Arial" w:cs="Arial"/>
                <w:sz w:val="18"/>
              </w:rPr>
              <w:t>se trata</w:t>
            </w:r>
            <w:r w:rsidRPr="00E25473">
              <w:rPr>
                <w:rFonts w:ascii="Arial" w:hAnsi="Arial" w:cs="Arial"/>
                <w:sz w:val="18"/>
              </w:rPr>
              <w:t xml:space="preserve"> da cobrança estadual.</w:t>
            </w:r>
          </w:p>
        </w:tc>
      </w:tr>
    </w:tbl>
    <w:p w:rsidR="00E808BE" w:rsidRDefault="00E808BE" w:rsidP="00A445F7">
      <w:pPr>
        <w:spacing w:after="0"/>
        <w:rPr>
          <w:rFonts w:ascii="Arial" w:hAnsi="Arial" w:cs="Arial"/>
          <w:sz w:val="18"/>
          <w:szCs w:val="18"/>
        </w:rPr>
        <w:sectPr w:rsidR="00E808BE" w:rsidSect="00A445F7">
          <w:pgSz w:w="16838" w:h="11906" w:orient="landscape"/>
          <w:pgMar w:top="720" w:right="720" w:bottom="720" w:left="720" w:header="708" w:footer="708" w:gutter="0"/>
          <w:cols w:space="708"/>
          <w:docGrid w:linePitch="360"/>
        </w:sectPr>
      </w:pPr>
    </w:p>
    <w:p w:rsidR="00031503" w:rsidRDefault="00031503" w:rsidP="00A445F7">
      <w:pPr>
        <w:spacing w:after="0"/>
        <w:rPr>
          <w:rFonts w:ascii="Arial" w:hAnsi="Arial" w:cs="Arial"/>
          <w:sz w:val="18"/>
          <w:szCs w:val="18"/>
        </w:rPr>
      </w:pPr>
    </w:p>
    <w:p w:rsidR="00031503" w:rsidRPr="00A445F7" w:rsidRDefault="00031503" w:rsidP="00443A27">
      <w:pPr>
        <w:spacing w:before="120" w:after="0"/>
        <w:jc w:val="both"/>
        <w:rPr>
          <w:rFonts w:ascii="Arial" w:eastAsia="Times New Roman" w:hAnsi="Arial" w:cs="Arial"/>
          <w:b/>
          <w:bCs/>
          <w:color w:val="000000"/>
          <w:sz w:val="18"/>
          <w:szCs w:val="18"/>
          <w:lang w:eastAsia="pt-BR"/>
        </w:rPr>
      </w:pPr>
      <w:r w:rsidRPr="00A445F7">
        <w:rPr>
          <w:rFonts w:ascii="Arial" w:eastAsia="Times New Roman" w:hAnsi="Arial" w:cs="Arial"/>
          <w:b/>
          <w:bCs/>
          <w:color w:val="000000"/>
          <w:sz w:val="18"/>
          <w:szCs w:val="18"/>
          <w:lang w:eastAsia="pt-BR"/>
        </w:rPr>
        <w:t>Comentários gerais sobre o relatório:</w:t>
      </w:r>
    </w:p>
    <w:p w:rsidR="006A4E20" w:rsidRPr="00E81445" w:rsidRDefault="006A4E20" w:rsidP="00443A27">
      <w:pPr>
        <w:pStyle w:val="PargrafodaLista"/>
        <w:numPr>
          <w:ilvl w:val="0"/>
          <w:numId w:val="7"/>
        </w:numPr>
        <w:spacing w:before="120" w:after="0"/>
        <w:ind w:left="714" w:hanging="357"/>
        <w:contextualSpacing w:val="0"/>
        <w:jc w:val="both"/>
        <w:rPr>
          <w:rFonts w:ascii="Arial" w:eastAsia="Times New Roman" w:hAnsi="Arial" w:cs="Arial"/>
          <w:color w:val="000000"/>
          <w:sz w:val="18"/>
          <w:szCs w:val="18"/>
          <w:lang w:eastAsia="pt-BR"/>
        </w:rPr>
      </w:pPr>
      <w:r w:rsidRPr="00E81445">
        <w:rPr>
          <w:rFonts w:ascii="Arial" w:eastAsia="Times New Roman" w:hAnsi="Arial" w:cs="Arial"/>
          <w:color w:val="000000"/>
          <w:sz w:val="18"/>
          <w:szCs w:val="18"/>
          <w:lang w:eastAsia="pt-BR"/>
        </w:rPr>
        <w:t>Rever as referências bibliográficas. Várias fontes citadas no Estudo não constam nas referências;</w:t>
      </w:r>
    </w:p>
    <w:p w:rsidR="006A4E20" w:rsidRDefault="006A4E20" w:rsidP="00443A27">
      <w:pPr>
        <w:pStyle w:val="PargrafodaLista"/>
        <w:numPr>
          <w:ilvl w:val="0"/>
          <w:numId w:val="7"/>
        </w:numPr>
        <w:spacing w:before="120" w:after="0"/>
        <w:ind w:left="714" w:hanging="357"/>
        <w:contextualSpacing w:val="0"/>
        <w:jc w:val="both"/>
        <w:rPr>
          <w:rFonts w:ascii="Arial" w:eastAsia="Times New Roman" w:hAnsi="Arial" w:cs="Arial"/>
          <w:color w:val="000000"/>
          <w:sz w:val="18"/>
          <w:szCs w:val="18"/>
          <w:lang w:eastAsia="pt-BR"/>
        </w:rPr>
      </w:pPr>
      <w:r w:rsidRPr="00E81445">
        <w:rPr>
          <w:rFonts w:ascii="Arial" w:eastAsia="Times New Roman" w:hAnsi="Arial" w:cs="Arial"/>
          <w:color w:val="000000"/>
          <w:sz w:val="18"/>
          <w:szCs w:val="18"/>
          <w:lang w:eastAsia="pt-BR"/>
        </w:rPr>
        <w:t>Em todo o relatório, são utilizadas diversas fontes para o mesmo dado. É recomendável padronizar</w:t>
      </w:r>
      <w:r w:rsidR="00F273D7">
        <w:rPr>
          <w:rFonts w:ascii="Arial" w:eastAsia="Times New Roman" w:hAnsi="Arial" w:cs="Arial"/>
          <w:color w:val="000000"/>
          <w:sz w:val="18"/>
          <w:szCs w:val="18"/>
          <w:lang w:eastAsia="pt-BR"/>
        </w:rPr>
        <w:t>, usando apenas uma fonte</w:t>
      </w:r>
      <w:r w:rsidRPr="00E81445">
        <w:rPr>
          <w:rFonts w:ascii="Arial" w:eastAsia="Times New Roman" w:hAnsi="Arial" w:cs="Arial"/>
          <w:color w:val="000000"/>
          <w:sz w:val="18"/>
          <w:szCs w:val="18"/>
          <w:lang w:eastAsia="pt-BR"/>
        </w:rPr>
        <w:t>;</w:t>
      </w:r>
    </w:p>
    <w:p w:rsidR="000529EB" w:rsidRPr="00E81445" w:rsidRDefault="000529EB" w:rsidP="00443A27">
      <w:pPr>
        <w:pStyle w:val="PargrafodaLista"/>
        <w:numPr>
          <w:ilvl w:val="0"/>
          <w:numId w:val="7"/>
        </w:numPr>
        <w:spacing w:before="120" w:after="0"/>
        <w:ind w:left="714" w:hanging="357"/>
        <w:contextualSpacing w:val="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Para dados relacionados (presentes na mesma tabela, por exemplo), quando possível, utilizar fontes do mesmo ano;</w:t>
      </w:r>
    </w:p>
    <w:p w:rsidR="006A4E20" w:rsidRDefault="00920D46" w:rsidP="00443A27">
      <w:pPr>
        <w:pStyle w:val="PargrafodaLista"/>
        <w:numPr>
          <w:ilvl w:val="0"/>
          <w:numId w:val="7"/>
        </w:numPr>
        <w:spacing w:before="120" w:after="0"/>
        <w:ind w:left="714" w:hanging="357"/>
        <w:contextualSpacing w:val="0"/>
        <w:jc w:val="both"/>
        <w:rPr>
          <w:rFonts w:ascii="Arial" w:eastAsia="Times New Roman" w:hAnsi="Arial" w:cs="Arial"/>
          <w:color w:val="000000"/>
          <w:sz w:val="18"/>
          <w:szCs w:val="18"/>
          <w:lang w:eastAsia="pt-BR"/>
        </w:rPr>
      </w:pPr>
      <w:r w:rsidRPr="00920D46">
        <w:rPr>
          <w:rFonts w:ascii="Arial" w:eastAsia="Times New Roman" w:hAnsi="Arial" w:cs="Arial"/>
          <w:color w:val="000000"/>
          <w:sz w:val="18"/>
          <w:szCs w:val="18"/>
          <w:lang w:eastAsia="pt-BR"/>
        </w:rPr>
        <w:t>Há muitas siglas no relatório e o nome completo de várias delas não constam do texto. Além de completar no texto, sugere-se elaborar lista de siglas;</w:t>
      </w:r>
    </w:p>
    <w:p w:rsidR="008B40AE" w:rsidRPr="008B40AE" w:rsidRDefault="008B40AE" w:rsidP="008B40AE">
      <w:pPr>
        <w:pStyle w:val="PargrafodaLista"/>
        <w:numPr>
          <w:ilvl w:val="0"/>
          <w:numId w:val="7"/>
        </w:numPr>
        <w:spacing w:before="120" w:after="0"/>
        <w:ind w:left="714" w:hanging="357"/>
        <w:contextualSpacing w:val="0"/>
        <w:jc w:val="both"/>
        <w:rPr>
          <w:rFonts w:ascii="Arial" w:eastAsia="Times New Roman" w:hAnsi="Arial" w:cs="Arial"/>
          <w:color w:val="000000"/>
          <w:sz w:val="18"/>
          <w:szCs w:val="18"/>
          <w:lang w:eastAsia="pt-BR"/>
        </w:rPr>
      </w:pPr>
      <w:r w:rsidRPr="008B40AE">
        <w:rPr>
          <w:rFonts w:ascii="Arial" w:eastAsia="Times New Roman" w:hAnsi="Arial" w:cs="Arial"/>
          <w:color w:val="000000"/>
          <w:sz w:val="18"/>
          <w:szCs w:val="18"/>
          <w:lang w:eastAsia="pt-BR"/>
        </w:rPr>
        <w:t>Nas fontes das figuras deve constar também o nome do autor (ex.: Figuras 02 e 03 e tabelas 01 e 02 nas p. 22, 23 e 24) e o ano da obra (ex.: SEADE - Figura 06 na p. 32);</w:t>
      </w:r>
    </w:p>
    <w:p w:rsidR="00F273D7" w:rsidRPr="00F273D7" w:rsidRDefault="00F273D7" w:rsidP="00F273D7">
      <w:pPr>
        <w:pStyle w:val="PargrafodaLista"/>
        <w:numPr>
          <w:ilvl w:val="0"/>
          <w:numId w:val="7"/>
        </w:numPr>
        <w:spacing w:before="120" w:after="0"/>
        <w:ind w:left="714" w:hanging="357"/>
        <w:contextualSpacing w:val="0"/>
        <w:jc w:val="both"/>
        <w:rPr>
          <w:rFonts w:ascii="Arial" w:eastAsia="Times New Roman" w:hAnsi="Arial" w:cs="Arial"/>
          <w:color w:val="000000"/>
          <w:sz w:val="18"/>
          <w:szCs w:val="18"/>
          <w:lang w:eastAsia="pt-BR"/>
        </w:rPr>
      </w:pPr>
      <w:r w:rsidRPr="00F273D7">
        <w:rPr>
          <w:rFonts w:ascii="Arial" w:eastAsia="Times New Roman" w:hAnsi="Arial" w:cs="Arial"/>
          <w:color w:val="000000"/>
          <w:sz w:val="18"/>
          <w:szCs w:val="18"/>
          <w:lang w:eastAsia="pt-BR"/>
        </w:rPr>
        <w:t xml:space="preserve">Incluir totais nas </w:t>
      </w:r>
      <w:r>
        <w:rPr>
          <w:rFonts w:ascii="Arial" w:eastAsia="Times New Roman" w:hAnsi="Arial" w:cs="Arial"/>
          <w:color w:val="000000"/>
          <w:sz w:val="18"/>
          <w:szCs w:val="18"/>
          <w:lang w:eastAsia="pt-BR"/>
        </w:rPr>
        <w:t>colunas das tabelas 50, 52 e 57;</w:t>
      </w:r>
    </w:p>
    <w:p w:rsidR="00920D46" w:rsidRPr="00920D46" w:rsidRDefault="00920D46" w:rsidP="00920D46">
      <w:pPr>
        <w:pStyle w:val="PargrafodaLista"/>
        <w:numPr>
          <w:ilvl w:val="0"/>
          <w:numId w:val="7"/>
        </w:numPr>
        <w:spacing w:before="120" w:after="0"/>
        <w:ind w:left="714" w:hanging="357"/>
        <w:contextualSpacing w:val="0"/>
        <w:jc w:val="both"/>
        <w:rPr>
          <w:rFonts w:ascii="Arial" w:eastAsia="Times New Roman" w:hAnsi="Arial" w:cs="Arial"/>
          <w:color w:val="000000"/>
          <w:sz w:val="18"/>
          <w:szCs w:val="18"/>
          <w:lang w:eastAsia="pt-BR"/>
        </w:rPr>
      </w:pPr>
      <w:r w:rsidRPr="00920D46">
        <w:rPr>
          <w:rFonts w:ascii="Arial" w:eastAsia="Times New Roman" w:hAnsi="Arial" w:cs="Arial"/>
          <w:color w:val="000000"/>
          <w:sz w:val="18"/>
          <w:szCs w:val="18"/>
          <w:lang w:eastAsia="pt-BR"/>
        </w:rPr>
        <w:t>Incluir unidade nas últimas colunas da tabela 57 - p. 156, e em todas da tabela 58 – p. 157;</w:t>
      </w:r>
    </w:p>
    <w:p w:rsidR="00920D46" w:rsidRPr="00920D46" w:rsidRDefault="00920D46" w:rsidP="00920D46">
      <w:pPr>
        <w:pStyle w:val="PargrafodaLista"/>
        <w:numPr>
          <w:ilvl w:val="0"/>
          <w:numId w:val="7"/>
        </w:numPr>
        <w:spacing w:before="120" w:after="0"/>
        <w:ind w:left="714" w:hanging="357"/>
        <w:contextualSpacing w:val="0"/>
        <w:jc w:val="both"/>
        <w:rPr>
          <w:rFonts w:ascii="Arial" w:eastAsia="Times New Roman" w:hAnsi="Arial" w:cs="Arial"/>
          <w:color w:val="000000"/>
          <w:sz w:val="18"/>
          <w:szCs w:val="18"/>
          <w:lang w:eastAsia="pt-BR"/>
        </w:rPr>
      </w:pPr>
      <w:r w:rsidRPr="00920D46">
        <w:rPr>
          <w:rFonts w:ascii="Arial" w:eastAsia="Times New Roman" w:hAnsi="Arial" w:cs="Arial"/>
          <w:color w:val="000000"/>
          <w:sz w:val="18"/>
          <w:szCs w:val="18"/>
          <w:lang w:eastAsia="pt-BR"/>
        </w:rPr>
        <w:t xml:space="preserve">Rever unidades no texto e nas tabelas, especialmente quanto ao uso da barra “/” (ex.: </w:t>
      </w:r>
      <w:r w:rsidRPr="00A376FE">
        <w:rPr>
          <w:rFonts w:ascii="Arial" w:eastAsia="Times New Roman" w:hAnsi="Arial" w:cs="Arial"/>
          <w:color w:val="000000"/>
          <w:sz w:val="18"/>
          <w:szCs w:val="18"/>
          <w:lang w:eastAsia="pt-BR"/>
        </w:rPr>
        <w:t>“R$/</w:t>
      </w:r>
      <w:proofErr w:type="spellStart"/>
      <w:r w:rsidRPr="00A376FE">
        <w:rPr>
          <w:rFonts w:ascii="Arial" w:eastAsia="Times New Roman" w:hAnsi="Arial" w:cs="Arial"/>
          <w:color w:val="000000"/>
          <w:sz w:val="18"/>
          <w:szCs w:val="18"/>
          <w:lang w:eastAsia="pt-BR"/>
        </w:rPr>
        <w:t>hab.ano</w:t>
      </w:r>
      <w:proofErr w:type="spellEnd"/>
      <w:r w:rsidRPr="00A376FE">
        <w:rPr>
          <w:rFonts w:ascii="Arial" w:eastAsia="Times New Roman" w:hAnsi="Arial" w:cs="Arial"/>
          <w:color w:val="000000"/>
          <w:sz w:val="18"/>
          <w:szCs w:val="18"/>
          <w:lang w:eastAsia="pt-BR"/>
        </w:rPr>
        <w:t>”</w:t>
      </w:r>
      <w:r w:rsidRPr="00920D46">
        <w:rPr>
          <w:rFonts w:ascii="Arial" w:eastAsia="Times New Roman" w:hAnsi="Arial" w:cs="Arial"/>
          <w:color w:val="000000"/>
          <w:sz w:val="18"/>
          <w:szCs w:val="18"/>
          <w:lang w:eastAsia="pt-BR"/>
        </w:rPr>
        <w:t xml:space="preserve"> na tabela 72 – p. 178; </w:t>
      </w:r>
      <w:r w:rsidRPr="00A376FE">
        <w:rPr>
          <w:rFonts w:ascii="Arial" w:eastAsia="Times New Roman" w:hAnsi="Arial" w:cs="Arial"/>
          <w:color w:val="000000"/>
          <w:sz w:val="18"/>
          <w:szCs w:val="18"/>
          <w:lang w:eastAsia="pt-BR"/>
        </w:rPr>
        <w:t>“R$/ano”</w:t>
      </w:r>
      <w:r w:rsidRPr="00920D46">
        <w:rPr>
          <w:rFonts w:ascii="Arial" w:eastAsia="Times New Roman" w:hAnsi="Arial" w:cs="Arial"/>
          <w:color w:val="000000"/>
          <w:sz w:val="18"/>
          <w:szCs w:val="18"/>
          <w:lang w:eastAsia="pt-BR"/>
        </w:rPr>
        <w:t xml:space="preserve"> ou </w:t>
      </w:r>
      <w:r w:rsidRPr="00A376FE">
        <w:rPr>
          <w:rFonts w:ascii="Arial" w:eastAsia="Times New Roman" w:hAnsi="Arial" w:cs="Arial"/>
          <w:color w:val="000000"/>
          <w:sz w:val="18"/>
          <w:szCs w:val="18"/>
          <w:lang w:eastAsia="pt-BR"/>
        </w:rPr>
        <w:t>“R$/</w:t>
      </w:r>
      <w:proofErr w:type="gramStart"/>
      <w:r w:rsidRPr="00A376FE">
        <w:rPr>
          <w:rFonts w:ascii="Arial" w:eastAsia="Times New Roman" w:hAnsi="Arial" w:cs="Arial"/>
          <w:color w:val="000000"/>
          <w:sz w:val="18"/>
          <w:szCs w:val="18"/>
          <w:lang w:eastAsia="pt-BR"/>
        </w:rPr>
        <w:t>m³.</w:t>
      </w:r>
      <w:proofErr w:type="gramEnd"/>
      <w:r w:rsidRPr="00A376FE">
        <w:rPr>
          <w:rFonts w:ascii="Arial" w:eastAsia="Times New Roman" w:hAnsi="Arial" w:cs="Arial"/>
          <w:color w:val="000000"/>
          <w:sz w:val="18"/>
          <w:szCs w:val="18"/>
          <w:lang w:eastAsia="pt-BR"/>
        </w:rPr>
        <w:t>ano”</w:t>
      </w:r>
      <w:r w:rsidRPr="00920D46">
        <w:rPr>
          <w:rFonts w:ascii="Arial" w:eastAsia="Times New Roman" w:hAnsi="Arial" w:cs="Arial"/>
          <w:color w:val="000000"/>
          <w:sz w:val="18"/>
          <w:szCs w:val="18"/>
          <w:lang w:eastAsia="pt-BR"/>
        </w:rPr>
        <w:t xml:space="preserve"> nas tabelas 74, 75 e 76 – p. 180, 181 e 182; tabela 77 – p. 183);</w:t>
      </w:r>
    </w:p>
    <w:p w:rsidR="00920D46" w:rsidRPr="008B40AE" w:rsidRDefault="00A376FE" w:rsidP="008B40AE">
      <w:pPr>
        <w:pStyle w:val="PargrafodaLista"/>
        <w:numPr>
          <w:ilvl w:val="0"/>
          <w:numId w:val="7"/>
        </w:numPr>
        <w:spacing w:before="120" w:after="0"/>
        <w:ind w:left="714" w:hanging="357"/>
        <w:contextualSpacing w:val="0"/>
        <w:jc w:val="both"/>
        <w:rPr>
          <w:rFonts w:ascii="Arial" w:eastAsia="Times New Roman" w:hAnsi="Arial" w:cs="Arial"/>
          <w:color w:val="000000"/>
          <w:sz w:val="18"/>
          <w:szCs w:val="18"/>
          <w:lang w:eastAsia="pt-BR"/>
        </w:rPr>
      </w:pPr>
      <w:r w:rsidRPr="00A376FE">
        <w:rPr>
          <w:rFonts w:ascii="Arial" w:eastAsia="Times New Roman" w:hAnsi="Arial" w:cs="Arial"/>
          <w:color w:val="000000"/>
          <w:sz w:val="18"/>
          <w:szCs w:val="18"/>
          <w:lang w:eastAsia="pt-BR"/>
        </w:rPr>
        <w:t>Nas tabelas devem ser assinalados os dados originados de cada fonte e os valores que são resultantes de cálculos efetuados pelos autores – ex.: tabela 50 na p. 146, tabela 52 na p. 147.</w:t>
      </w:r>
    </w:p>
    <w:p w:rsidR="00153DF0" w:rsidRDefault="00153DF0" w:rsidP="00443A27">
      <w:pPr>
        <w:spacing w:before="120" w:after="0"/>
        <w:jc w:val="both"/>
        <w:rPr>
          <w:rFonts w:ascii="Arial" w:hAnsi="Arial" w:cs="Arial"/>
          <w:sz w:val="18"/>
          <w:szCs w:val="18"/>
        </w:rPr>
      </w:pPr>
    </w:p>
    <w:p w:rsidR="00253638" w:rsidRDefault="00031503" w:rsidP="00443A27">
      <w:pPr>
        <w:spacing w:before="120" w:after="0"/>
        <w:jc w:val="both"/>
        <w:rPr>
          <w:rFonts w:ascii="Arial" w:hAnsi="Arial" w:cs="Arial"/>
          <w:b/>
          <w:sz w:val="18"/>
          <w:szCs w:val="18"/>
        </w:rPr>
      </w:pPr>
      <w:r w:rsidRPr="00E808BE">
        <w:rPr>
          <w:rFonts w:ascii="Arial" w:hAnsi="Arial" w:cs="Arial"/>
          <w:b/>
          <w:sz w:val="18"/>
          <w:szCs w:val="18"/>
        </w:rPr>
        <w:t>Análise da</w:t>
      </w:r>
      <w:r w:rsidR="00D94331" w:rsidRPr="00E808BE">
        <w:rPr>
          <w:rFonts w:ascii="Arial" w:hAnsi="Arial" w:cs="Arial"/>
          <w:b/>
          <w:sz w:val="18"/>
          <w:szCs w:val="18"/>
        </w:rPr>
        <w:t xml:space="preserve"> Deliberaç</w:t>
      </w:r>
      <w:r w:rsidR="00153DF0">
        <w:rPr>
          <w:rFonts w:ascii="Arial" w:hAnsi="Arial" w:cs="Arial"/>
          <w:b/>
          <w:sz w:val="18"/>
          <w:szCs w:val="18"/>
        </w:rPr>
        <w:t>ão</w:t>
      </w:r>
      <w:r w:rsidRPr="00E808BE">
        <w:rPr>
          <w:rFonts w:ascii="Arial" w:hAnsi="Arial" w:cs="Arial"/>
          <w:b/>
          <w:sz w:val="18"/>
          <w:szCs w:val="18"/>
        </w:rPr>
        <w:t xml:space="preserve"> CBH-</w:t>
      </w:r>
      <w:r w:rsidR="00153DF0">
        <w:rPr>
          <w:rFonts w:ascii="Arial" w:hAnsi="Arial" w:cs="Arial"/>
          <w:b/>
          <w:sz w:val="18"/>
          <w:szCs w:val="18"/>
        </w:rPr>
        <w:t>SJD</w:t>
      </w:r>
      <w:r w:rsidR="00D94331" w:rsidRPr="00E808BE">
        <w:rPr>
          <w:rFonts w:ascii="Arial" w:hAnsi="Arial" w:cs="Arial"/>
          <w:b/>
          <w:sz w:val="18"/>
          <w:szCs w:val="18"/>
        </w:rPr>
        <w:t xml:space="preserve"> nº </w:t>
      </w:r>
      <w:r w:rsidR="00153DF0">
        <w:rPr>
          <w:rFonts w:ascii="Arial" w:hAnsi="Arial" w:cs="Arial"/>
          <w:b/>
          <w:sz w:val="18"/>
          <w:szCs w:val="18"/>
        </w:rPr>
        <w:t>171</w:t>
      </w:r>
      <w:r w:rsidR="00E808BE" w:rsidRPr="00E808BE">
        <w:rPr>
          <w:rFonts w:ascii="Arial" w:hAnsi="Arial" w:cs="Arial"/>
          <w:b/>
          <w:sz w:val="18"/>
          <w:szCs w:val="18"/>
        </w:rPr>
        <w:t>/</w:t>
      </w:r>
      <w:r w:rsidR="00B54397">
        <w:rPr>
          <w:rFonts w:ascii="Arial" w:hAnsi="Arial" w:cs="Arial"/>
          <w:b/>
          <w:sz w:val="18"/>
          <w:szCs w:val="18"/>
        </w:rPr>
        <w:t>20</w:t>
      </w:r>
      <w:r w:rsidR="00E808BE" w:rsidRPr="00E808BE">
        <w:rPr>
          <w:rFonts w:ascii="Arial" w:hAnsi="Arial" w:cs="Arial"/>
          <w:b/>
          <w:sz w:val="18"/>
          <w:szCs w:val="18"/>
        </w:rPr>
        <w:t>16</w:t>
      </w:r>
      <w:r w:rsidR="00AD7564">
        <w:rPr>
          <w:rFonts w:ascii="Arial" w:hAnsi="Arial" w:cs="Arial"/>
          <w:b/>
          <w:sz w:val="18"/>
          <w:szCs w:val="18"/>
        </w:rPr>
        <w:t>:</w:t>
      </w:r>
    </w:p>
    <w:p w:rsidR="00E07C46" w:rsidRPr="00443A27" w:rsidRDefault="00443A27" w:rsidP="00443A27">
      <w:pPr>
        <w:pStyle w:val="PargrafodaLista"/>
        <w:numPr>
          <w:ilvl w:val="0"/>
          <w:numId w:val="7"/>
        </w:numPr>
        <w:spacing w:before="120" w:after="0"/>
        <w:contextualSpacing w:val="0"/>
        <w:jc w:val="both"/>
        <w:rPr>
          <w:rFonts w:ascii="Arial" w:eastAsia="Times New Roman" w:hAnsi="Arial" w:cs="Arial"/>
          <w:color w:val="000000"/>
          <w:sz w:val="18"/>
          <w:szCs w:val="18"/>
          <w:lang w:eastAsia="pt-BR"/>
        </w:rPr>
      </w:pPr>
      <w:r w:rsidRPr="00443A27">
        <w:rPr>
          <w:rFonts w:ascii="Arial" w:eastAsia="Times New Roman" w:hAnsi="Arial" w:cs="Arial"/>
          <w:color w:val="000000"/>
          <w:sz w:val="18"/>
          <w:szCs w:val="18"/>
          <w:lang w:eastAsia="pt-BR"/>
        </w:rPr>
        <w:t xml:space="preserve">7º considerando (que fala sobre o Grupo de Trabalho): sugere-se excluir o texto da parte final: </w:t>
      </w:r>
      <w:r w:rsidRPr="00443A27">
        <w:rPr>
          <w:rFonts w:ascii="Arial" w:eastAsia="Times New Roman" w:hAnsi="Arial" w:cs="Arial"/>
          <w:i/>
          <w:color w:val="000000"/>
          <w:sz w:val="18"/>
          <w:szCs w:val="18"/>
          <w:lang w:eastAsia="pt-BR"/>
        </w:rPr>
        <w:t>“que constitui o Grupo Técnico...”</w:t>
      </w:r>
      <w:r w:rsidRPr="00443A27">
        <w:rPr>
          <w:rFonts w:ascii="Arial" w:eastAsia="Times New Roman" w:hAnsi="Arial" w:cs="Arial"/>
          <w:color w:val="000000"/>
          <w:sz w:val="18"/>
          <w:szCs w:val="18"/>
          <w:lang w:eastAsia="pt-BR"/>
        </w:rPr>
        <w:t xml:space="preserve"> ou colocá-lo dentro dos parênteses, pois está repetitivo;</w:t>
      </w:r>
    </w:p>
    <w:p w:rsidR="00443A27" w:rsidRPr="00443A27" w:rsidRDefault="00443A27" w:rsidP="00443A27">
      <w:pPr>
        <w:pStyle w:val="PargrafodaLista"/>
        <w:numPr>
          <w:ilvl w:val="0"/>
          <w:numId w:val="7"/>
        </w:numPr>
        <w:spacing w:before="120" w:after="0"/>
        <w:contextualSpacing w:val="0"/>
        <w:jc w:val="both"/>
        <w:rPr>
          <w:rFonts w:ascii="Arial" w:eastAsia="Times New Roman" w:hAnsi="Arial" w:cs="Arial"/>
          <w:color w:val="000000"/>
          <w:sz w:val="18"/>
          <w:szCs w:val="18"/>
          <w:lang w:eastAsia="pt-BR"/>
        </w:rPr>
      </w:pPr>
      <w:r w:rsidRPr="00443A27">
        <w:rPr>
          <w:rFonts w:ascii="Arial" w:eastAsia="Times New Roman" w:hAnsi="Arial" w:cs="Arial"/>
          <w:color w:val="000000"/>
          <w:sz w:val="18"/>
          <w:szCs w:val="18"/>
          <w:lang w:eastAsia="pt-BR"/>
        </w:rPr>
        <w:t>8º considerando: excluir a Deliberação CRH nº 111/2009, pois ela não dispõe sobre limites e condicionantes da cobrança;</w:t>
      </w:r>
    </w:p>
    <w:p w:rsidR="00443A27" w:rsidRDefault="00443A27" w:rsidP="00443A27">
      <w:pPr>
        <w:pStyle w:val="PargrafodaLista"/>
        <w:numPr>
          <w:ilvl w:val="0"/>
          <w:numId w:val="7"/>
        </w:numPr>
        <w:spacing w:before="120" w:after="0"/>
        <w:contextualSpacing w:val="0"/>
        <w:jc w:val="both"/>
        <w:rPr>
          <w:rFonts w:ascii="Arial" w:eastAsia="Times New Roman" w:hAnsi="Arial" w:cs="Arial"/>
          <w:color w:val="000000"/>
          <w:sz w:val="18"/>
          <w:szCs w:val="18"/>
          <w:lang w:eastAsia="pt-BR"/>
        </w:rPr>
      </w:pPr>
      <w:r w:rsidRPr="00443A27">
        <w:rPr>
          <w:rFonts w:ascii="Arial" w:eastAsia="Times New Roman" w:hAnsi="Arial" w:cs="Arial"/>
          <w:color w:val="000000"/>
          <w:sz w:val="18"/>
          <w:szCs w:val="18"/>
          <w:lang w:eastAsia="pt-BR"/>
        </w:rPr>
        <w:t>Parágrafo único do artigo 2º: especificar melhor o que é “1º ano”. Está considerando o ano fiscal ou irá contar um ano a partir do mês da emissão dos boletos? Sugere-se colocar “1º exercício fiscal” ou “primeiros 12 meses” dependendo do período que será considerado. Realizar a correção também no Estudo</w:t>
      </w:r>
      <w:r>
        <w:rPr>
          <w:rFonts w:ascii="Arial" w:eastAsia="Times New Roman" w:hAnsi="Arial" w:cs="Arial"/>
          <w:color w:val="000000"/>
          <w:sz w:val="18"/>
          <w:szCs w:val="18"/>
          <w:lang w:eastAsia="pt-BR"/>
        </w:rPr>
        <w:t>;</w:t>
      </w:r>
    </w:p>
    <w:p w:rsidR="00443A27" w:rsidRDefault="00C80C85" w:rsidP="00443A27">
      <w:pPr>
        <w:pStyle w:val="PargrafodaLista"/>
        <w:numPr>
          <w:ilvl w:val="0"/>
          <w:numId w:val="7"/>
        </w:numPr>
        <w:spacing w:before="120" w:after="0"/>
        <w:contextualSpacing w:val="0"/>
        <w:jc w:val="both"/>
        <w:rPr>
          <w:rFonts w:ascii="Arial" w:eastAsia="Times New Roman" w:hAnsi="Arial" w:cs="Arial"/>
          <w:color w:val="000000"/>
          <w:sz w:val="18"/>
          <w:szCs w:val="18"/>
          <w:lang w:eastAsia="pt-BR"/>
        </w:rPr>
      </w:pPr>
      <w:r w:rsidRPr="00C80C85">
        <w:rPr>
          <w:rFonts w:ascii="Arial" w:eastAsia="Times New Roman" w:hAnsi="Arial" w:cs="Arial"/>
          <w:color w:val="000000"/>
          <w:sz w:val="18"/>
          <w:szCs w:val="18"/>
          <w:lang w:eastAsia="pt-BR"/>
        </w:rPr>
        <w:t>Artigo 5º: necessário explicar melhor as si</w:t>
      </w:r>
      <w:r w:rsidR="00F51E5D">
        <w:rPr>
          <w:rFonts w:ascii="Arial" w:eastAsia="Times New Roman" w:hAnsi="Arial" w:cs="Arial"/>
          <w:color w:val="000000"/>
          <w:sz w:val="18"/>
          <w:szCs w:val="18"/>
          <w:lang w:eastAsia="pt-BR"/>
        </w:rPr>
        <w:t>glas das fórmulas, como FC, FER, bem como explicitar na Deliberação</w:t>
      </w:r>
      <w:r w:rsidRPr="00C80C85">
        <w:rPr>
          <w:rFonts w:ascii="Arial" w:eastAsia="Times New Roman" w:hAnsi="Arial" w:cs="Arial"/>
          <w:color w:val="000000"/>
          <w:sz w:val="18"/>
          <w:szCs w:val="18"/>
          <w:lang w:eastAsia="pt-BR"/>
        </w:rPr>
        <w:t xml:space="preserve"> a fonte desses parâmetros e como serão calculados;</w:t>
      </w:r>
    </w:p>
    <w:p w:rsidR="00C80C85" w:rsidRPr="00C80C85" w:rsidRDefault="00C80C85" w:rsidP="00443A27">
      <w:pPr>
        <w:pStyle w:val="PargrafodaLista"/>
        <w:numPr>
          <w:ilvl w:val="0"/>
          <w:numId w:val="7"/>
        </w:numPr>
        <w:spacing w:before="120" w:after="0"/>
        <w:contextualSpacing w:val="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Artigo 6º, tabela 1: </w:t>
      </w:r>
      <w:r w:rsidR="009F362E">
        <w:rPr>
          <w:rFonts w:ascii="Arial" w:eastAsia="Times New Roman" w:hAnsi="Arial" w:cs="Arial"/>
          <w:color w:val="000000"/>
          <w:sz w:val="18"/>
          <w:szCs w:val="18"/>
          <w:lang w:eastAsia="pt-BR"/>
        </w:rPr>
        <w:t xml:space="preserve">no coeficiente X3 sugere-se utilizar sinais “&gt;” e “&lt;” para especificar os intervalos, assim como consta no coeficiente Y3, para evitar </w:t>
      </w:r>
      <w:r w:rsidR="00A024F9">
        <w:rPr>
          <w:rFonts w:ascii="Arial" w:eastAsia="Times New Roman" w:hAnsi="Arial" w:cs="Arial"/>
          <w:color w:val="000000"/>
          <w:sz w:val="18"/>
          <w:szCs w:val="18"/>
          <w:lang w:eastAsia="pt-BR"/>
        </w:rPr>
        <w:t>dúvidas quanto ao limite de cada intervalo;</w:t>
      </w:r>
    </w:p>
    <w:p w:rsidR="00636F5E" w:rsidRDefault="00C80C85" w:rsidP="00443A27">
      <w:pPr>
        <w:pStyle w:val="PargrafodaLista"/>
        <w:numPr>
          <w:ilvl w:val="0"/>
          <w:numId w:val="7"/>
        </w:numPr>
        <w:spacing w:before="120" w:after="0"/>
        <w:contextualSpacing w:val="0"/>
        <w:jc w:val="both"/>
        <w:rPr>
          <w:rFonts w:ascii="Arial" w:eastAsia="Times New Roman" w:hAnsi="Arial" w:cs="Arial"/>
          <w:color w:val="000000"/>
          <w:sz w:val="18"/>
          <w:szCs w:val="18"/>
          <w:lang w:eastAsia="pt-BR"/>
        </w:rPr>
      </w:pPr>
      <w:r w:rsidRPr="00C80C85">
        <w:rPr>
          <w:rFonts w:ascii="Arial" w:eastAsia="Times New Roman" w:hAnsi="Arial" w:cs="Arial"/>
          <w:color w:val="000000"/>
          <w:sz w:val="18"/>
          <w:szCs w:val="18"/>
          <w:lang w:eastAsia="pt-BR"/>
        </w:rPr>
        <w:t>Melhorar a apresentação das tabelas da Deliberação no Estudo de Fundamentação, pois alguns itens estão “cortados”</w:t>
      </w:r>
      <w:r w:rsidR="00636F5E">
        <w:rPr>
          <w:rFonts w:ascii="Arial" w:eastAsia="Times New Roman" w:hAnsi="Arial" w:cs="Arial"/>
          <w:color w:val="000000"/>
          <w:sz w:val="18"/>
          <w:szCs w:val="18"/>
          <w:lang w:eastAsia="pt-BR"/>
        </w:rPr>
        <w:t>;</w:t>
      </w:r>
    </w:p>
    <w:p w:rsidR="00C80C85" w:rsidRPr="00443A27" w:rsidRDefault="00636F5E" w:rsidP="00443A27">
      <w:pPr>
        <w:pStyle w:val="PargrafodaLista"/>
        <w:numPr>
          <w:ilvl w:val="0"/>
          <w:numId w:val="7"/>
        </w:numPr>
        <w:spacing w:before="120" w:after="0"/>
        <w:contextualSpacing w:val="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Artigo </w:t>
      </w:r>
      <w:proofErr w:type="gramStart"/>
      <w:r>
        <w:rPr>
          <w:rFonts w:ascii="Arial" w:eastAsia="Times New Roman" w:hAnsi="Arial" w:cs="Arial"/>
          <w:color w:val="000000"/>
          <w:sz w:val="18"/>
          <w:szCs w:val="18"/>
          <w:lang w:eastAsia="pt-BR"/>
        </w:rPr>
        <w:t>7</w:t>
      </w:r>
      <w:proofErr w:type="gramEnd"/>
      <w:r>
        <w:rPr>
          <w:rFonts w:ascii="Arial" w:eastAsia="Times New Roman" w:hAnsi="Arial" w:cs="Arial"/>
          <w:color w:val="000000"/>
          <w:sz w:val="18"/>
          <w:szCs w:val="18"/>
          <w:lang w:eastAsia="pt-BR"/>
        </w:rPr>
        <w:t>: incluir o percentual que cada parcela de recursos equivale ao valor do Plano de Bacia em cada PDC (na deliberação e no Estudo)</w:t>
      </w:r>
      <w:r w:rsidR="00C80C85" w:rsidRPr="00C80C85">
        <w:rPr>
          <w:rFonts w:ascii="Arial" w:eastAsia="Times New Roman" w:hAnsi="Arial" w:cs="Arial"/>
          <w:color w:val="000000"/>
          <w:sz w:val="18"/>
          <w:szCs w:val="18"/>
          <w:lang w:eastAsia="pt-BR"/>
        </w:rPr>
        <w:t>.</w:t>
      </w:r>
    </w:p>
    <w:sectPr w:rsidR="00C80C85" w:rsidRPr="00443A27" w:rsidSect="00E808B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C5B4D"/>
    <w:multiLevelType w:val="hybridMultilevel"/>
    <w:tmpl w:val="DAEE9E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6F33587"/>
    <w:multiLevelType w:val="hybridMultilevel"/>
    <w:tmpl w:val="4EC2E3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7C12287"/>
    <w:multiLevelType w:val="hybridMultilevel"/>
    <w:tmpl w:val="A694FF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92C59CC"/>
    <w:multiLevelType w:val="hybridMultilevel"/>
    <w:tmpl w:val="5C5EE1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7AC2003"/>
    <w:multiLevelType w:val="hybridMultilevel"/>
    <w:tmpl w:val="D38E7D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97108DC"/>
    <w:multiLevelType w:val="hybridMultilevel"/>
    <w:tmpl w:val="0484945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nsid w:val="2CC54730"/>
    <w:multiLevelType w:val="hybridMultilevel"/>
    <w:tmpl w:val="5A721E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D751100"/>
    <w:multiLevelType w:val="hybridMultilevel"/>
    <w:tmpl w:val="C6ECC680"/>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8">
    <w:nsid w:val="38D761BA"/>
    <w:multiLevelType w:val="hybridMultilevel"/>
    <w:tmpl w:val="CF2A18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09C6E0A"/>
    <w:multiLevelType w:val="hybridMultilevel"/>
    <w:tmpl w:val="72C2F4A4"/>
    <w:lvl w:ilvl="0" w:tplc="04160001">
      <w:start w:val="1"/>
      <w:numFmt w:val="bullet"/>
      <w:lvlText w:val=""/>
      <w:lvlJc w:val="left"/>
      <w:pPr>
        <w:ind w:left="557" w:hanging="360"/>
      </w:pPr>
      <w:rPr>
        <w:rFonts w:ascii="Symbol" w:hAnsi="Symbol" w:hint="default"/>
      </w:rPr>
    </w:lvl>
    <w:lvl w:ilvl="1" w:tplc="04160003" w:tentative="1">
      <w:start w:val="1"/>
      <w:numFmt w:val="bullet"/>
      <w:lvlText w:val="o"/>
      <w:lvlJc w:val="left"/>
      <w:pPr>
        <w:ind w:left="1277" w:hanging="360"/>
      </w:pPr>
      <w:rPr>
        <w:rFonts w:ascii="Courier New" w:hAnsi="Courier New" w:cs="Courier New" w:hint="default"/>
      </w:rPr>
    </w:lvl>
    <w:lvl w:ilvl="2" w:tplc="04160005" w:tentative="1">
      <w:start w:val="1"/>
      <w:numFmt w:val="bullet"/>
      <w:lvlText w:val=""/>
      <w:lvlJc w:val="left"/>
      <w:pPr>
        <w:ind w:left="1997" w:hanging="360"/>
      </w:pPr>
      <w:rPr>
        <w:rFonts w:ascii="Wingdings" w:hAnsi="Wingdings" w:hint="default"/>
      </w:rPr>
    </w:lvl>
    <w:lvl w:ilvl="3" w:tplc="04160001" w:tentative="1">
      <w:start w:val="1"/>
      <w:numFmt w:val="bullet"/>
      <w:lvlText w:val=""/>
      <w:lvlJc w:val="left"/>
      <w:pPr>
        <w:ind w:left="2717" w:hanging="360"/>
      </w:pPr>
      <w:rPr>
        <w:rFonts w:ascii="Symbol" w:hAnsi="Symbol" w:hint="default"/>
      </w:rPr>
    </w:lvl>
    <w:lvl w:ilvl="4" w:tplc="04160003" w:tentative="1">
      <w:start w:val="1"/>
      <w:numFmt w:val="bullet"/>
      <w:lvlText w:val="o"/>
      <w:lvlJc w:val="left"/>
      <w:pPr>
        <w:ind w:left="3437" w:hanging="360"/>
      </w:pPr>
      <w:rPr>
        <w:rFonts w:ascii="Courier New" w:hAnsi="Courier New" w:cs="Courier New" w:hint="default"/>
      </w:rPr>
    </w:lvl>
    <w:lvl w:ilvl="5" w:tplc="04160005" w:tentative="1">
      <w:start w:val="1"/>
      <w:numFmt w:val="bullet"/>
      <w:lvlText w:val=""/>
      <w:lvlJc w:val="left"/>
      <w:pPr>
        <w:ind w:left="4157" w:hanging="360"/>
      </w:pPr>
      <w:rPr>
        <w:rFonts w:ascii="Wingdings" w:hAnsi="Wingdings" w:hint="default"/>
      </w:rPr>
    </w:lvl>
    <w:lvl w:ilvl="6" w:tplc="04160001" w:tentative="1">
      <w:start w:val="1"/>
      <w:numFmt w:val="bullet"/>
      <w:lvlText w:val=""/>
      <w:lvlJc w:val="left"/>
      <w:pPr>
        <w:ind w:left="4877" w:hanging="360"/>
      </w:pPr>
      <w:rPr>
        <w:rFonts w:ascii="Symbol" w:hAnsi="Symbol" w:hint="default"/>
      </w:rPr>
    </w:lvl>
    <w:lvl w:ilvl="7" w:tplc="04160003" w:tentative="1">
      <w:start w:val="1"/>
      <w:numFmt w:val="bullet"/>
      <w:lvlText w:val="o"/>
      <w:lvlJc w:val="left"/>
      <w:pPr>
        <w:ind w:left="5597" w:hanging="360"/>
      </w:pPr>
      <w:rPr>
        <w:rFonts w:ascii="Courier New" w:hAnsi="Courier New" w:cs="Courier New" w:hint="default"/>
      </w:rPr>
    </w:lvl>
    <w:lvl w:ilvl="8" w:tplc="04160005" w:tentative="1">
      <w:start w:val="1"/>
      <w:numFmt w:val="bullet"/>
      <w:lvlText w:val=""/>
      <w:lvlJc w:val="left"/>
      <w:pPr>
        <w:ind w:left="6317" w:hanging="360"/>
      </w:pPr>
      <w:rPr>
        <w:rFonts w:ascii="Wingdings" w:hAnsi="Wingdings" w:hint="default"/>
      </w:rPr>
    </w:lvl>
  </w:abstractNum>
  <w:abstractNum w:abstractNumId="10">
    <w:nsid w:val="41680104"/>
    <w:multiLevelType w:val="hybridMultilevel"/>
    <w:tmpl w:val="6666ED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1BD4361"/>
    <w:multiLevelType w:val="hybridMultilevel"/>
    <w:tmpl w:val="297279BC"/>
    <w:lvl w:ilvl="0" w:tplc="04160001">
      <w:start w:val="1"/>
      <w:numFmt w:val="bullet"/>
      <w:lvlText w:val=""/>
      <w:lvlJc w:val="left"/>
      <w:pPr>
        <w:ind w:left="917" w:hanging="360"/>
      </w:pPr>
      <w:rPr>
        <w:rFonts w:ascii="Symbol" w:hAnsi="Symbol" w:hint="default"/>
      </w:rPr>
    </w:lvl>
    <w:lvl w:ilvl="1" w:tplc="04160003" w:tentative="1">
      <w:start w:val="1"/>
      <w:numFmt w:val="bullet"/>
      <w:lvlText w:val="o"/>
      <w:lvlJc w:val="left"/>
      <w:pPr>
        <w:ind w:left="1637" w:hanging="360"/>
      </w:pPr>
      <w:rPr>
        <w:rFonts w:ascii="Courier New" w:hAnsi="Courier New" w:cs="Courier New" w:hint="default"/>
      </w:rPr>
    </w:lvl>
    <w:lvl w:ilvl="2" w:tplc="04160005" w:tentative="1">
      <w:start w:val="1"/>
      <w:numFmt w:val="bullet"/>
      <w:lvlText w:val=""/>
      <w:lvlJc w:val="left"/>
      <w:pPr>
        <w:ind w:left="2357" w:hanging="360"/>
      </w:pPr>
      <w:rPr>
        <w:rFonts w:ascii="Wingdings" w:hAnsi="Wingdings" w:hint="default"/>
      </w:rPr>
    </w:lvl>
    <w:lvl w:ilvl="3" w:tplc="04160001" w:tentative="1">
      <w:start w:val="1"/>
      <w:numFmt w:val="bullet"/>
      <w:lvlText w:val=""/>
      <w:lvlJc w:val="left"/>
      <w:pPr>
        <w:ind w:left="3077" w:hanging="360"/>
      </w:pPr>
      <w:rPr>
        <w:rFonts w:ascii="Symbol" w:hAnsi="Symbol" w:hint="default"/>
      </w:rPr>
    </w:lvl>
    <w:lvl w:ilvl="4" w:tplc="04160003" w:tentative="1">
      <w:start w:val="1"/>
      <w:numFmt w:val="bullet"/>
      <w:lvlText w:val="o"/>
      <w:lvlJc w:val="left"/>
      <w:pPr>
        <w:ind w:left="3797" w:hanging="360"/>
      </w:pPr>
      <w:rPr>
        <w:rFonts w:ascii="Courier New" w:hAnsi="Courier New" w:cs="Courier New" w:hint="default"/>
      </w:rPr>
    </w:lvl>
    <w:lvl w:ilvl="5" w:tplc="04160005" w:tentative="1">
      <w:start w:val="1"/>
      <w:numFmt w:val="bullet"/>
      <w:lvlText w:val=""/>
      <w:lvlJc w:val="left"/>
      <w:pPr>
        <w:ind w:left="4517" w:hanging="360"/>
      </w:pPr>
      <w:rPr>
        <w:rFonts w:ascii="Wingdings" w:hAnsi="Wingdings" w:hint="default"/>
      </w:rPr>
    </w:lvl>
    <w:lvl w:ilvl="6" w:tplc="04160001" w:tentative="1">
      <w:start w:val="1"/>
      <w:numFmt w:val="bullet"/>
      <w:lvlText w:val=""/>
      <w:lvlJc w:val="left"/>
      <w:pPr>
        <w:ind w:left="5237" w:hanging="360"/>
      </w:pPr>
      <w:rPr>
        <w:rFonts w:ascii="Symbol" w:hAnsi="Symbol" w:hint="default"/>
      </w:rPr>
    </w:lvl>
    <w:lvl w:ilvl="7" w:tplc="04160003" w:tentative="1">
      <w:start w:val="1"/>
      <w:numFmt w:val="bullet"/>
      <w:lvlText w:val="o"/>
      <w:lvlJc w:val="left"/>
      <w:pPr>
        <w:ind w:left="5957" w:hanging="360"/>
      </w:pPr>
      <w:rPr>
        <w:rFonts w:ascii="Courier New" w:hAnsi="Courier New" w:cs="Courier New" w:hint="default"/>
      </w:rPr>
    </w:lvl>
    <w:lvl w:ilvl="8" w:tplc="04160005" w:tentative="1">
      <w:start w:val="1"/>
      <w:numFmt w:val="bullet"/>
      <w:lvlText w:val=""/>
      <w:lvlJc w:val="left"/>
      <w:pPr>
        <w:ind w:left="6677" w:hanging="360"/>
      </w:pPr>
      <w:rPr>
        <w:rFonts w:ascii="Wingdings" w:hAnsi="Wingdings" w:hint="default"/>
      </w:rPr>
    </w:lvl>
  </w:abstractNum>
  <w:abstractNum w:abstractNumId="12">
    <w:nsid w:val="44FD58CA"/>
    <w:multiLevelType w:val="hybridMultilevel"/>
    <w:tmpl w:val="E870B6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4C077059"/>
    <w:multiLevelType w:val="hybridMultilevel"/>
    <w:tmpl w:val="8EF246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72A3499"/>
    <w:multiLevelType w:val="hybridMultilevel"/>
    <w:tmpl w:val="3DE4CF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E900631"/>
    <w:multiLevelType w:val="hybridMultilevel"/>
    <w:tmpl w:val="B6BA776E"/>
    <w:lvl w:ilvl="0" w:tplc="2F58CAB8">
      <w:start w:val="1"/>
      <w:numFmt w:val="bullet"/>
      <w:lvlText w:val=""/>
      <w:lvlJc w:val="left"/>
      <w:pPr>
        <w:ind w:left="360" w:hanging="360"/>
      </w:pPr>
      <w:rPr>
        <w:rFonts w:ascii="Symbol" w:hAnsi="Symbol" w:hint="default"/>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1E675FE"/>
    <w:multiLevelType w:val="hybridMultilevel"/>
    <w:tmpl w:val="D7E4DE2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729E574B"/>
    <w:multiLevelType w:val="hybridMultilevel"/>
    <w:tmpl w:val="AC56CBCC"/>
    <w:lvl w:ilvl="0" w:tplc="04160001">
      <w:start w:val="1"/>
      <w:numFmt w:val="bullet"/>
      <w:lvlText w:val=""/>
      <w:lvlJc w:val="left"/>
      <w:pPr>
        <w:ind w:left="3762" w:hanging="360"/>
      </w:pPr>
      <w:rPr>
        <w:rFonts w:ascii="Symbol" w:hAnsi="Symbol" w:hint="default"/>
      </w:rPr>
    </w:lvl>
    <w:lvl w:ilvl="1" w:tplc="04160003" w:tentative="1">
      <w:start w:val="1"/>
      <w:numFmt w:val="bullet"/>
      <w:lvlText w:val="o"/>
      <w:lvlJc w:val="left"/>
      <w:pPr>
        <w:ind w:left="4482" w:hanging="360"/>
      </w:pPr>
      <w:rPr>
        <w:rFonts w:ascii="Courier New" w:hAnsi="Courier New" w:cs="Courier New" w:hint="default"/>
      </w:rPr>
    </w:lvl>
    <w:lvl w:ilvl="2" w:tplc="04160005" w:tentative="1">
      <w:start w:val="1"/>
      <w:numFmt w:val="bullet"/>
      <w:lvlText w:val=""/>
      <w:lvlJc w:val="left"/>
      <w:pPr>
        <w:ind w:left="5202" w:hanging="360"/>
      </w:pPr>
      <w:rPr>
        <w:rFonts w:ascii="Wingdings" w:hAnsi="Wingdings" w:hint="default"/>
      </w:rPr>
    </w:lvl>
    <w:lvl w:ilvl="3" w:tplc="04160001" w:tentative="1">
      <w:start w:val="1"/>
      <w:numFmt w:val="bullet"/>
      <w:lvlText w:val=""/>
      <w:lvlJc w:val="left"/>
      <w:pPr>
        <w:ind w:left="5922" w:hanging="360"/>
      </w:pPr>
      <w:rPr>
        <w:rFonts w:ascii="Symbol" w:hAnsi="Symbol" w:hint="default"/>
      </w:rPr>
    </w:lvl>
    <w:lvl w:ilvl="4" w:tplc="04160003" w:tentative="1">
      <w:start w:val="1"/>
      <w:numFmt w:val="bullet"/>
      <w:lvlText w:val="o"/>
      <w:lvlJc w:val="left"/>
      <w:pPr>
        <w:ind w:left="6642" w:hanging="360"/>
      </w:pPr>
      <w:rPr>
        <w:rFonts w:ascii="Courier New" w:hAnsi="Courier New" w:cs="Courier New" w:hint="default"/>
      </w:rPr>
    </w:lvl>
    <w:lvl w:ilvl="5" w:tplc="04160005" w:tentative="1">
      <w:start w:val="1"/>
      <w:numFmt w:val="bullet"/>
      <w:lvlText w:val=""/>
      <w:lvlJc w:val="left"/>
      <w:pPr>
        <w:ind w:left="7362" w:hanging="360"/>
      </w:pPr>
      <w:rPr>
        <w:rFonts w:ascii="Wingdings" w:hAnsi="Wingdings" w:hint="default"/>
      </w:rPr>
    </w:lvl>
    <w:lvl w:ilvl="6" w:tplc="04160001" w:tentative="1">
      <w:start w:val="1"/>
      <w:numFmt w:val="bullet"/>
      <w:lvlText w:val=""/>
      <w:lvlJc w:val="left"/>
      <w:pPr>
        <w:ind w:left="8082" w:hanging="360"/>
      </w:pPr>
      <w:rPr>
        <w:rFonts w:ascii="Symbol" w:hAnsi="Symbol" w:hint="default"/>
      </w:rPr>
    </w:lvl>
    <w:lvl w:ilvl="7" w:tplc="04160003" w:tentative="1">
      <w:start w:val="1"/>
      <w:numFmt w:val="bullet"/>
      <w:lvlText w:val="o"/>
      <w:lvlJc w:val="left"/>
      <w:pPr>
        <w:ind w:left="8802" w:hanging="360"/>
      </w:pPr>
      <w:rPr>
        <w:rFonts w:ascii="Courier New" w:hAnsi="Courier New" w:cs="Courier New" w:hint="default"/>
      </w:rPr>
    </w:lvl>
    <w:lvl w:ilvl="8" w:tplc="04160005" w:tentative="1">
      <w:start w:val="1"/>
      <w:numFmt w:val="bullet"/>
      <w:lvlText w:val=""/>
      <w:lvlJc w:val="left"/>
      <w:pPr>
        <w:ind w:left="9522" w:hanging="360"/>
      </w:pPr>
      <w:rPr>
        <w:rFonts w:ascii="Wingdings" w:hAnsi="Wingdings" w:hint="default"/>
      </w:rPr>
    </w:lvl>
  </w:abstractNum>
  <w:abstractNum w:abstractNumId="18">
    <w:nsid w:val="78B922C5"/>
    <w:multiLevelType w:val="hybridMultilevel"/>
    <w:tmpl w:val="2DBAA4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79FA2E6B"/>
    <w:multiLevelType w:val="hybridMultilevel"/>
    <w:tmpl w:val="92184F2C"/>
    <w:lvl w:ilvl="0" w:tplc="A97464F0">
      <w:start w:val="1"/>
      <w:numFmt w:val="bullet"/>
      <w:lvlText w:val=""/>
      <w:lvlJc w:val="left"/>
      <w:pPr>
        <w:ind w:left="36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7"/>
  </w:num>
  <w:num w:numId="4">
    <w:abstractNumId w:val="19"/>
  </w:num>
  <w:num w:numId="5">
    <w:abstractNumId w:val="15"/>
  </w:num>
  <w:num w:numId="6">
    <w:abstractNumId w:val="14"/>
  </w:num>
  <w:num w:numId="7">
    <w:abstractNumId w:val="16"/>
  </w:num>
  <w:num w:numId="8">
    <w:abstractNumId w:val="18"/>
  </w:num>
  <w:num w:numId="9">
    <w:abstractNumId w:val="2"/>
  </w:num>
  <w:num w:numId="10">
    <w:abstractNumId w:val="13"/>
  </w:num>
  <w:num w:numId="11">
    <w:abstractNumId w:val="0"/>
  </w:num>
  <w:num w:numId="12">
    <w:abstractNumId w:val="8"/>
  </w:num>
  <w:num w:numId="13">
    <w:abstractNumId w:val="1"/>
  </w:num>
  <w:num w:numId="14">
    <w:abstractNumId w:val="12"/>
  </w:num>
  <w:num w:numId="15">
    <w:abstractNumId w:val="4"/>
  </w:num>
  <w:num w:numId="16">
    <w:abstractNumId w:val="3"/>
  </w:num>
  <w:num w:numId="17">
    <w:abstractNumId w:val="5"/>
  </w:num>
  <w:num w:numId="18">
    <w:abstractNumId w:val="7"/>
  </w:num>
  <w:num w:numId="19">
    <w:abstractNumId w:val="9"/>
  </w:num>
  <w:num w:numId="20">
    <w:abstractNumId w:val="1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48B"/>
    <w:rsid w:val="00000A48"/>
    <w:rsid w:val="00000D41"/>
    <w:rsid w:val="00001689"/>
    <w:rsid w:val="00004172"/>
    <w:rsid w:val="00005136"/>
    <w:rsid w:val="0001396A"/>
    <w:rsid w:val="00013AC5"/>
    <w:rsid w:val="00015D2A"/>
    <w:rsid w:val="00017A94"/>
    <w:rsid w:val="00021BFB"/>
    <w:rsid w:val="000222E2"/>
    <w:rsid w:val="000227EB"/>
    <w:rsid w:val="000238D5"/>
    <w:rsid w:val="0003009C"/>
    <w:rsid w:val="00030457"/>
    <w:rsid w:val="00030659"/>
    <w:rsid w:val="00031503"/>
    <w:rsid w:val="0003613A"/>
    <w:rsid w:val="00036AC4"/>
    <w:rsid w:val="00037372"/>
    <w:rsid w:val="00040BC1"/>
    <w:rsid w:val="00040FA4"/>
    <w:rsid w:val="000428E7"/>
    <w:rsid w:val="00043212"/>
    <w:rsid w:val="000438C9"/>
    <w:rsid w:val="0004656F"/>
    <w:rsid w:val="00051093"/>
    <w:rsid w:val="000529EB"/>
    <w:rsid w:val="00056D94"/>
    <w:rsid w:val="00062061"/>
    <w:rsid w:val="000627AC"/>
    <w:rsid w:val="00062D25"/>
    <w:rsid w:val="000634B0"/>
    <w:rsid w:val="00063FD1"/>
    <w:rsid w:val="0006461B"/>
    <w:rsid w:val="00064AAD"/>
    <w:rsid w:val="0007404C"/>
    <w:rsid w:val="0007585C"/>
    <w:rsid w:val="00075A14"/>
    <w:rsid w:val="00075BE0"/>
    <w:rsid w:val="00081B42"/>
    <w:rsid w:val="0009001F"/>
    <w:rsid w:val="00090F9E"/>
    <w:rsid w:val="00093C95"/>
    <w:rsid w:val="0009479A"/>
    <w:rsid w:val="00095942"/>
    <w:rsid w:val="00096739"/>
    <w:rsid w:val="00096DFF"/>
    <w:rsid w:val="000A5748"/>
    <w:rsid w:val="000B0196"/>
    <w:rsid w:val="000C05AA"/>
    <w:rsid w:val="000C1BC9"/>
    <w:rsid w:val="000C4D05"/>
    <w:rsid w:val="000D1ABD"/>
    <w:rsid w:val="000D312D"/>
    <w:rsid w:val="000D3A37"/>
    <w:rsid w:val="000E021E"/>
    <w:rsid w:val="000E0954"/>
    <w:rsid w:val="000E0C9F"/>
    <w:rsid w:val="000E4362"/>
    <w:rsid w:val="000F5EF2"/>
    <w:rsid w:val="000F6436"/>
    <w:rsid w:val="000F728C"/>
    <w:rsid w:val="00101376"/>
    <w:rsid w:val="00103DCA"/>
    <w:rsid w:val="001063A5"/>
    <w:rsid w:val="00106652"/>
    <w:rsid w:val="00107658"/>
    <w:rsid w:val="0011401F"/>
    <w:rsid w:val="00114455"/>
    <w:rsid w:val="00114857"/>
    <w:rsid w:val="001224E1"/>
    <w:rsid w:val="00127707"/>
    <w:rsid w:val="00131049"/>
    <w:rsid w:val="00131333"/>
    <w:rsid w:val="001318A2"/>
    <w:rsid w:val="00136584"/>
    <w:rsid w:val="00140A21"/>
    <w:rsid w:val="00141403"/>
    <w:rsid w:val="00142EFB"/>
    <w:rsid w:val="001473BF"/>
    <w:rsid w:val="00153DF0"/>
    <w:rsid w:val="0015451E"/>
    <w:rsid w:val="001608E5"/>
    <w:rsid w:val="001616C3"/>
    <w:rsid w:val="00176C0D"/>
    <w:rsid w:val="00187A38"/>
    <w:rsid w:val="001906B1"/>
    <w:rsid w:val="00192462"/>
    <w:rsid w:val="0019480D"/>
    <w:rsid w:val="00194BCD"/>
    <w:rsid w:val="00194D01"/>
    <w:rsid w:val="001970AE"/>
    <w:rsid w:val="001A1F0B"/>
    <w:rsid w:val="001A4161"/>
    <w:rsid w:val="001A4AED"/>
    <w:rsid w:val="001A51B0"/>
    <w:rsid w:val="001A6AEF"/>
    <w:rsid w:val="001B102B"/>
    <w:rsid w:val="001B3EF3"/>
    <w:rsid w:val="001B4830"/>
    <w:rsid w:val="001B63A2"/>
    <w:rsid w:val="001C4876"/>
    <w:rsid w:val="001C589C"/>
    <w:rsid w:val="001C5E90"/>
    <w:rsid w:val="001C62EF"/>
    <w:rsid w:val="001C647D"/>
    <w:rsid w:val="001C6FCE"/>
    <w:rsid w:val="001D13D5"/>
    <w:rsid w:val="001D1971"/>
    <w:rsid w:val="001D35AE"/>
    <w:rsid w:val="001D638C"/>
    <w:rsid w:val="001E01C9"/>
    <w:rsid w:val="001E0D22"/>
    <w:rsid w:val="0020177E"/>
    <w:rsid w:val="00206119"/>
    <w:rsid w:val="00206273"/>
    <w:rsid w:val="00206500"/>
    <w:rsid w:val="00214D77"/>
    <w:rsid w:val="00215095"/>
    <w:rsid w:val="00215874"/>
    <w:rsid w:val="002160EB"/>
    <w:rsid w:val="00216837"/>
    <w:rsid w:val="0021695A"/>
    <w:rsid w:val="002201A6"/>
    <w:rsid w:val="002206C5"/>
    <w:rsid w:val="002206F9"/>
    <w:rsid w:val="00221232"/>
    <w:rsid w:val="00221A73"/>
    <w:rsid w:val="00230FC0"/>
    <w:rsid w:val="0023553A"/>
    <w:rsid w:val="00236D39"/>
    <w:rsid w:val="002435D8"/>
    <w:rsid w:val="0025082A"/>
    <w:rsid w:val="00250BC3"/>
    <w:rsid w:val="00253638"/>
    <w:rsid w:val="0025506A"/>
    <w:rsid w:val="00260C7D"/>
    <w:rsid w:val="00262608"/>
    <w:rsid w:val="00263F91"/>
    <w:rsid w:val="002655CA"/>
    <w:rsid w:val="0027224A"/>
    <w:rsid w:val="00273AC1"/>
    <w:rsid w:val="00277989"/>
    <w:rsid w:val="00284052"/>
    <w:rsid w:val="0029224C"/>
    <w:rsid w:val="00294ADB"/>
    <w:rsid w:val="002A1DC2"/>
    <w:rsid w:val="002A2C46"/>
    <w:rsid w:val="002A3FAE"/>
    <w:rsid w:val="002A4CE7"/>
    <w:rsid w:val="002A5332"/>
    <w:rsid w:val="002A6760"/>
    <w:rsid w:val="002A6FE8"/>
    <w:rsid w:val="002A74E9"/>
    <w:rsid w:val="002A7BD0"/>
    <w:rsid w:val="002B04B4"/>
    <w:rsid w:val="002B3C7D"/>
    <w:rsid w:val="002C10D1"/>
    <w:rsid w:val="002C6238"/>
    <w:rsid w:val="002C6C58"/>
    <w:rsid w:val="002C6DD3"/>
    <w:rsid w:val="002C7DF2"/>
    <w:rsid w:val="002D16F1"/>
    <w:rsid w:val="002D44B1"/>
    <w:rsid w:val="002D463D"/>
    <w:rsid w:val="002D6997"/>
    <w:rsid w:val="002E01EE"/>
    <w:rsid w:val="002E3172"/>
    <w:rsid w:val="002E47C6"/>
    <w:rsid w:val="002E5267"/>
    <w:rsid w:val="002F08D3"/>
    <w:rsid w:val="002F207E"/>
    <w:rsid w:val="002F75F7"/>
    <w:rsid w:val="002F7EAF"/>
    <w:rsid w:val="0030158B"/>
    <w:rsid w:val="00301F69"/>
    <w:rsid w:val="003029E6"/>
    <w:rsid w:val="003039AA"/>
    <w:rsid w:val="0030421A"/>
    <w:rsid w:val="003042EB"/>
    <w:rsid w:val="003076A0"/>
    <w:rsid w:val="00313E09"/>
    <w:rsid w:val="00314AFD"/>
    <w:rsid w:val="00317FAA"/>
    <w:rsid w:val="003217FF"/>
    <w:rsid w:val="00322A96"/>
    <w:rsid w:val="00324D9C"/>
    <w:rsid w:val="003267EC"/>
    <w:rsid w:val="00330C06"/>
    <w:rsid w:val="00334863"/>
    <w:rsid w:val="00334904"/>
    <w:rsid w:val="00335087"/>
    <w:rsid w:val="00337D8D"/>
    <w:rsid w:val="003430F7"/>
    <w:rsid w:val="003440E2"/>
    <w:rsid w:val="00347ED1"/>
    <w:rsid w:val="003527FC"/>
    <w:rsid w:val="003533E4"/>
    <w:rsid w:val="00360504"/>
    <w:rsid w:val="00362F2E"/>
    <w:rsid w:val="0036415D"/>
    <w:rsid w:val="00367C5F"/>
    <w:rsid w:val="003715C0"/>
    <w:rsid w:val="00372DCE"/>
    <w:rsid w:val="0037413A"/>
    <w:rsid w:val="00375CA5"/>
    <w:rsid w:val="00385EBB"/>
    <w:rsid w:val="00387987"/>
    <w:rsid w:val="00391FA2"/>
    <w:rsid w:val="00392CC0"/>
    <w:rsid w:val="00395BC7"/>
    <w:rsid w:val="00395CE1"/>
    <w:rsid w:val="00395E7A"/>
    <w:rsid w:val="0039657B"/>
    <w:rsid w:val="00397B11"/>
    <w:rsid w:val="003A434F"/>
    <w:rsid w:val="003A738F"/>
    <w:rsid w:val="003C0151"/>
    <w:rsid w:val="003C11DB"/>
    <w:rsid w:val="003C2502"/>
    <w:rsid w:val="003C3A78"/>
    <w:rsid w:val="003C4684"/>
    <w:rsid w:val="003C6215"/>
    <w:rsid w:val="003D316F"/>
    <w:rsid w:val="003D3AB9"/>
    <w:rsid w:val="003D4D89"/>
    <w:rsid w:val="003D5906"/>
    <w:rsid w:val="003F03DE"/>
    <w:rsid w:val="003F279F"/>
    <w:rsid w:val="003F6029"/>
    <w:rsid w:val="003F6888"/>
    <w:rsid w:val="00401256"/>
    <w:rsid w:val="00401305"/>
    <w:rsid w:val="00402F78"/>
    <w:rsid w:val="004042C4"/>
    <w:rsid w:val="004043E7"/>
    <w:rsid w:val="00404B09"/>
    <w:rsid w:val="0041016F"/>
    <w:rsid w:val="00413CAC"/>
    <w:rsid w:val="00415904"/>
    <w:rsid w:val="00416A4D"/>
    <w:rsid w:val="00420CCF"/>
    <w:rsid w:val="00425442"/>
    <w:rsid w:val="0043487C"/>
    <w:rsid w:val="004351F9"/>
    <w:rsid w:val="00437135"/>
    <w:rsid w:val="004374EE"/>
    <w:rsid w:val="00440E79"/>
    <w:rsid w:val="0044219F"/>
    <w:rsid w:val="00443A27"/>
    <w:rsid w:val="00446E89"/>
    <w:rsid w:val="004474A1"/>
    <w:rsid w:val="00451388"/>
    <w:rsid w:val="004535EC"/>
    <w:rsid w:val="00454B97"/>
    <w:rsid w:val="00457F96"/>
    <w:rsid w:val="004635BE"/>
    <w:rsid w:val="00466119"/>
    <w:rsid w:val="00467E3B"/>
    <w:rsid w:val="004706D0"/>
    <w:rsid w:val="00472195"/>
    <w:rsid w:val="0047244E"/>
    <w:rsid w:val="004725BF"/>
    <w:rsid w:val="0047375B"/>
    <w:rsid w:val="004752B7"/>
    <w:rsid w:val="00481944"/>
    <w:rsid w:val="00482BD0"/>
    <w:rsid w:val="00485FB5"/>
    <w:rsid w:val="00486E99"/>
    <w:rsid w:val="0048766C"/>
    <w:rsid w:val="004877A2"/>
    <w:rsid w:val="004969E5"/>
    <w:rsid w:val="00496FCF"/>
    <w:rsid w:val="00497652"/>
    <w:rsid w:val="004A2240"/>
    <w:rsid w:val="004A4381"/>
    <w:rsid w:val="004A48D9"/>
    <w:rsid w:val="004B0E35"/>
    <w:rsid w:val="004B1047"/>
    <w:rsid w:val="004B15B5"/>
    <w:rsid w:val="004B2CC3"/>
    <w:rsid w:val="004C20B7"/>
    <w:rsid w:val="004C228B"/>
    <w:rsid w:val="004C526A"/>
    <w:rsid w:val="004D074B"/>
    <w:rsid w:val="004D3162"/>
    <w:rsid w:val="004D7E36"/>
    <w:rsid w:val="004E5381"/>
    <w:rsid w:val="004F4743"/>
    <w:rsid w:val="004F4BDA"/>
    <w:rsid w:val="004F7D28"/>
    <w:rsid w:val="004F7F4B"/>
    <w:rsid w:val="0050233F"/>
    <w:rsid w:val="00504D96"/>
    <w:rsid w:val="005058FD"/>
    <w:rsid w:val="005074CA"/>
    <w:rsid w:val="00510389"/>
    <w:rsid w:val="00512F5D"/>
    <w:rsid w:val="00514256"/>
    <w:rsid w:val="00517E8C"/>
    <w:rsid w:val="0052059A"/>
    <w:rsid w:val="00525105"/>
    <w:rsid w:val="00531636"/>
    <w:rsid w:val="005322C3"/>
    <w:rsid w:val="0054147C"/>
    <w:rsid w:val="00556037"/>
    <w:rsid w:val="00556E48"/>
    <w:rsid w:val="00560CE2"/>
    <w:rsid w:val="005645D7"/>
    <w:rsid w:val="00565364"/>
    <w:rsid w:val="00567813"/>
    <w:rsid w:val="00571926"/>
    <w:rsid w:val="00571ADC"/>
    <w:rsid w:val="00572565"/>
    <w:rsid w:val="00576FD3"/>
    <w:rsid w:val="0058514B"/>
    <w:rsid w:val="005872CB"/>
    <w:rsid w:val="00590E61"/>
    <w:rsid w:val="00591448"/>
    <w:rsid w:val="0059325B"/>
    <w:rsid w:val="0059398F"/>
    <w:rsid w:val="005A6E56"/>
    <w:rsid w:val="005B15B3"/>
    <w:rsid w:val="005B5A28"/>
    <w:rsid w:val="005C289B"/>
    <w:rsid w:val="005C45FA"/>
    <w:rsid w:val="005C5066"/>
    <w:rsid w:val="005D0CD4"/>
    <w:rsid w:val="005D39B7"/>
    <w:rsid w:val="005D457A"/>
    <w:rsid w:val="005D6032"/>
    <w:rsid w:val="005D6BF2"/>
    <w:rsid w:val="005D6C7C"/>
    <w:rsid w:val="005D7DA9"/>
    <w:rsid w:val="005E15CB"/>
    <w:rsid w:val="005E1A74"/>
    <w:rsid w:val="005E27F4"/>
    <w:rsid w:val="005E4485"/>
    <w:rsid w:val="005E4923"/>
    <w:rsid w:val="005E4D63"/>
    <w:rsid w:val="005F1690"/>
    <w:rsid w:val="005F1F76"/>
    <w:rsid w:val="005F3D4C"/>
    <w:rsid w:val="005F49F0"/>
    <w:rsid w:val="005F4AEA"/>
    <w:rsid w:val="005F6E99"/>
    <w:rsid w:val="006075EB"/>
    <w:rsid w:val="00610826"/>
    <w:rsid w:val="006179BA"/>
    <w:rsid w:val="00620549"/>
    <w:rsid w:val="00622671"/>
    <w:rsid w:val="006272ED"/>
    <w:rsid w:val="006346D2"/>
    <w:rsid w:val="00634A6F"/>
    <w:rsid w:val="00636F5E"/>
    <w:rsid w:val="006379B1"/>
    <w:rsid w:val="00642DFE"/>
    <w:rsid w:val="006435A5"/>
    <w:rsid w:val="006437D4"/>
    <w:rsid w:val="00643F6B"/>
    <w:rsid w:val="006445FE"/>
    <w:rsid w:val="006449A7"/>
    <w:rsid w:val="00645174"/>
    <w:rsid w:val="0064536B"/>
    <w:rsid w:val="00645921"/>
    <w:rsid w:val="00660927"/>
    <w:rsid w:val="00666973"/>
    <w:rsid w:val="00672B49"/>
    <w:rsid w:val="00674BAB"/>
    <w:rsid w:val="0068454C"/>
    <w:rsid w:val="00684581"/>
    <w:rsid w:val="0068690A"/>
    <w:rsid w:val="006928F0"/>
    <w:rsid w:val="00692CD9"/>
    <w:rsid w:val="00697BE9"/>
    <w:rsid w:val="006A19FD"/>
    <w:rsid w:val="006A3B8A"/>
    <w:rsid w:val="006A4E20"/>
    <w:rsid w:val="006A71F1"/>
    <w:rsid w:val="006B231F"/>
    <w:rsid w:val="006B330C"/>
    <w:rsid w:val="006B5F13"/>
    <w:rsid w:val="006C04AE"/>
    <w:rsid w:val="006C0D92"/>
    <w:rsid w:val="006C2573"/>
    <w:rsid w:val="006C3AF8"/>
    <w:rsid w:val="006D1B3D"/>
    <w:rsid w:val="006D2C5A"/>
    <w:rsid w:val="006D77C9"/>
    <w:rsid w:val="006E2640"/>
    <w:rsid w:val="006E2D7D"/>
    <w:rsid w:val="006F06AB"/>
    <w:rsid w:val="006F229B"/>
    <w:rsid w:val="006F465E"/>
    <w:rsid w:val="006F4871"/>
    <w:rsid w:val="006F5005"/>
    <w:rsid w:val="00700C23"/>
    <w:rsid w:val="00701AF2"/>
    <w:rsid w:val="007050BE"/>
    <w:rsid w:val="007062FD"/>
    <w:rsid w:val="00710992"/>
    <w:rsid w:val="0071106E"/>
    <w:rsid w:val="00711275"/>
    <w:rsid w:val="00712CF0"/>
    <w:rsid w:val="00715EBA"/>
    <w:rsid w:val="00717193"/>
    <w:rsid w:val="00720BDF"/>
    <w:rsid w:val="00721C85"/>
    <w:rsid w:val="0072298C"/>
    <w:rsid w:val="00722BAE"/>
    <w:rsid w:val="00723557"/>
    <w:rsid w:val="007239D6"/>
    <w:rsid w:val="00724254"/>
    <w:rsid w:val="00724D41"/>
    <w:rsid w:val="00726F68"/>
    <w:rsid w:val="00730CF2"/>
    <w:rsid w:val="007330ED"/>
    <w:rsid w:val="007332FF"/>
    <w:rsid w:val="007337B2"/>
    <w:rsid w:val="007375C8"/>
    <w:rsid w:val="007411C0"/>
    <w:rsid w:val="0074212C"/>
    <w:rsid w:val="00751260"/>
    <w:rsid w:val="007533D8"/>
    <w:rsid w:val="0075482C"/>
    <w:rsid w:val="007558BD"/>
    <w:rsid w:val="0076138A"/>
    <w:rsid w:val="007650AC"/>
    <w:rsid w:val="00770578"/>
    <w:rsid w:val="0077523A"/>
    <w:rsid w:val="00777716"/>
    <w:rsid w:val="0078548B"/>
    <w:rsid w:val="007872A1"/>
    <w:rsid w:val="00792DEC"/>
    <w:rsid w:val="007959D3"/>
    <w:rsid w:val="00795FA2"/>
    <w:rsid w:val="007A0DE8"/>
    <w:rsid w:val="007A2197"/>
    <w:rsid w:val="007A3D70"/>
    <w:rsid w:val="007A43A5"/>
    <w:rsid w:val="007B6106"/>
    <w:rsid w:val="007C05B8"/>
    <w:rsid w:val="007C0E82"/>
    <w:rsid w:val="007C1A8D"/>
    <w:rsid w:val="007C2139"/>
    <w:rsid w:val="007C6525"/>
    <w:rsid w:val="007C6641"/>
    <w:rsid w:val="007C71FB"/>
    <w:rsid w:val="007D04CB"/>
    <w:rsid w:val="007D3BAF"/>
    <w:rsid w:val="007D4CE1"/>
    <w:rsid w:val="007D6808"/>
    <w:rsid w:val="007D6F88"/>
    <w:rsid w:val="007E289C"/>
    <w:rsid w:val="007E5715"/>
    <w:rsid w:val="007E6EB8"/>
    <w:rsid w:val="007F358E"/>
    <w:rsid w:val="007F6FFA"/>
    <w:rsid w:val="0080138B"/>
    <w:rsid w:val="00823FB2"/>
    <w:rsid w:val="00824050"/>
    <w:rsid w:val="00826571"/>
    <w:rsid w:val="00826C39"/>
    <w:rsid w:val="0082797C"/>
    <w:rsid w:val="00830495"/>
    <w:rsid w:val="008308FF"/>
    <w:rsid w:val="0083115B"/>
    <w:rsid w:val="00831F05"/>
    <w:rsid w:val="008324C2"/>
    <w:rsid w:val="0083268D"/>
    <w:rsid w:val="0085577F"/>
    <w:rsid w:val="0085753C"/>
    <w:rsid w:val="00861348"/>
    <w:rsid w:val="0086226F"/>
    <w:rsid w:val="00865545"/>
    <w:rsid w:val="008663A7"/>
    <w:rsid w:val="008851EE"/>
    <w:rsid w:val="0088542F"/>
    <w:rsid w:val="00885FD9"/>
    <w:rsid w:val="0089426E"/>
    <w:rsid w:val="008947AB"/>
    <w:rsid w:val="008A036B"/>
    <w:rsid w:val="008A0C36"/>
    <w:rsid w:val="008A2809"/>
    <w:rsid w:val="008A622D"/>
    <w:rsid w:val="008A66FF"/>
    <w:rsid w:val="008A67FD"/>
    <w:rsid w:val="008A6DEF"/>
    <w:rsid w:val="008B3F65"/>
    <w:rsid w:val="008B40AE"/>
    <w:rsid w:val="008B749E"/>
    <w:rsid w:val="008B7C8A"/>
    <w:rsid w:val="008C204E"/>
    <w:rsid w:val="008C2F97"/>
    <w:rsid w:val="008D030D"/>
    <w:rsid w:val="008D070F"/>
    <w:rsid w:val="008D3706"/>
    <w:rsid w:val="008D381F"/>
    <w:rsid w:val="008D6334"/>
    <w:rsid w:val="008E608D"/>
    <w:rsid w:val="008E680F"/>
    <w:rsid w:val="008E76B3"/>
    <w:rsid w:val="008F1617"/>
    <w:rsid w:val="008F271C"/>
    <w:rsid w:val="008F29FB"/>
    <w:rsid w:val="008F6132"/>
    <w:rsid w:val="0090006D"/>
    <w:rsid w:val="00903DEC"/>
    <w:rsid w:val="00906D87"/>
    <w:rsid w:val="00910D7F"/>
    <w:rsid w:val="00912102"/>
    <w:rsid w:val="00915987"/>
    <w:rsid w:val="00920D46"/>
    <w:rsid w:val="00921722"/>
    <w:rsid w:val="00922C52"/>
    <w:rsid w:val="00923E10"/>
    <w:rsid w:val="009369EC"/>
    <w:rsid w:val="00937D7D"/>
    <w:rsid w:val="009408CA"/>
    <w:rsid w:val="009473A7"/>
    <w:rsid w:val="0094797D"/>
    <w:rsid w:val="00951DA9"/>
    <w:rsid w:val="00951F01"/>
    <w:rsid w:val="00952BD8"/>
    <w:rsid w:val="009657D3"/>
    <w:rsid w:val="00966874"/>
    <w:rsid w:val="00967FA8"/>
    <w:rsid w:val="0097019C"/>
    <w:rsid w:val="009727D4"/>
    <w:rsid w:val="00973BC8"/>
    <w:rsid w:val="00977DD9"/>
    <w:rsid w:val="009821E7"/>
    <w:rsid w:val="00983ADD"/>
    <w:rsid w:val="00983D05"/>
    <w:rsid w:val="009854A2"/>
    <w:rsid w:val="00990C96"/>
    <w:rsid w:val="00994E4A"/>
    <w:rsid w:val="0099562E"/>
    <w:rsid w:val="009957E3"/>
    <w:rsid w:val="00997899"/>
    <w:rsid w:val="009A1665"/>
    <w:rsid w:val="009A7A5D"/>
    <w:rsid w:val="009B2B5C"/>
    <w:rsid w:val="009B3798"/>
    <w:rsid w:val="009B3944"/>
    <w:rsid w:val="009B5D47"/>
    <w:rsid w:val="009B74CF"/>
    <w:rsid w:val="009B7DE1"/>
    <w:rsid w:val="009C050D"/>
    <w:rsid w:val="009C1FC8"/>
    <w:rsid w:val="009C2DDA"/>
    <w:rsid w:val="009C7449"/>
    <w:rsid w:val="009D59FC"/>
    <w:rsid w:val="009D5BD3"/>
    <w:rsid w:val="009E61D7"/>
    <w:rsid w:val="009E78C3"/>
    <w:rsid w:val="009F362E"/>
    <w:rsid w:val="009F6BA3"/>
    <w:rsid w:val="00A00DE4"/>
    <w:rsid w:val="00A0108E"/>
    <w:rsid w:val="00A024F9"/>
    <w:rsid w:val="00A03E04"/>
    <w:rsid w:val="00A11285"/>
    <w:rsid w:val="00A14D99"/>
    <w:rsid w:val="00A2187A"/>
    <w:rsid w:val="00A23D7A"/>
    <w:rsid w:val="00A24A31"/>
    <w:rsid w:val="00A34875"/>
    <w:rsid w:val="00A34BF8"/>
    <w:rsid w:val="00A34C89"/>
    <w:rsid w:val="00A359C6"/>
    <w:rsid w:val="00A376FE"/>
    <w:rsid w:val="00A41FCC"/>
    <w:rsid w:val="00A42FF1"/>
    <w:rsid w:val="00A445F7"/>
    <w:rsid w:val="00A56C8C"/>
    <w:rsid w:val="00A60883"/>
    <w:rsid w:val="00A73AFA"/>
    <w:rsid w:val="00A741F6"/>
    <w:rsid w:val="00A7480E"/>
    <w:rsid w:val="00A74C29"/>
    <w:rsid w:val="00A75787"/>
    <w:rsid w:val="00A83CA8"/>
    <w:rsid w:val="00A84B64"/>
    <w:rsid w:val="00A85495"/>
    <w:rsid w:val="00A85918"/>
    <w:rsid w:val="00A90C57"/>
    <w:rsid w:val="00A9346F"/>
    <w:rsid w:val="00A9365C"/>
    <w:rsid w:val="00A9586E"/>
    <w:rsid w:val="00AA1649"/>
    <w:rsid w:val="00AA2FBD"/>
    <w:rsid w:val="00AB2211"/>
    <w:rsid w:val="00AC0790"/>
    <w:rsid w:val="00AC37B7"/>
    <w:rsid w:val="00AC3B36"/>
    <w:rsid w:val="00AC472F"/>
    <w:rsid w:val="00AC4D8C"/>
    <w:rsid w:val="00AD3002"/>
    <w:rsid w:val="00AD61B9"/>
    <w:rsid w:val="00AD7564"/>
    <w:rsid w:val="00AE16E8"/>
    <w:rsid w:val="00AF012C"/>
    <w:rsid w:val="00AF3161"/>
    <w:rsid w:val="00B00DAF"/>
    <w:rsid w:val="00B039B2"/>
    <w:rsid w:val="00B03D62"/>
    <w:rsid w:val="00B12105"/>
    <w:rsid w:val="00B14159"/>
    <w:rsid w:val="00B25743"/>
    <w:rsid w:val="00B271F3"/>
    <w:rsid w:val="00B27CEB"/>
    <w:rsid w:val="00B321B2"/>
    <w:rsid w:val="00B33E16"/>
    <w:rsid w:val="00B414B0"/>
    <w:rsid w:val="00B4250D"/>
    <w:rsid w:val="00B5407B"/>
    <w:rsid w:val="00B54397"/>
    <w:rsid w:val="00B557BE"/>
    <w:rsid w:val="00B5777E"/>
    <w:rsid w:val="00B70EEA"/>
    <w:rsid w:val="00B73FA3"/>
    <w:rsid w:val="00B766C4"/>
    <w:rsid w:val="00B77243"/>
    <w:rsid w:val="00B81B62"/>
    <w:rsid w:val="00B849FE"/>
    <w:rsid w:val="00B87FDF"/>
    <w:rsid w:val="00B90804"/>
    <w:rsid w:val="00B91EBF"/>
    <w:rsid w:val="00B97AE5"/>
    <w:rsid w:val="00BA02DC"/>
    <w:rsid w:val="00BA2A88"/>
    <w:rsid w:val="00BA4E45"/>
    <w:rsid w:val="00BA5CFD"/>
    <w:rsid w:val="00BA6999"/>
    <w:rsid w:val="00BB00CE"/>
    <w:rsid w:val="00BC2968"/>
    <w:rsid w:val="00BC2EDA"/>
    <w:rsid w:val="00BC3FCA"/>
    <w:rsid w:val="00BC683C"/>
    <w:rsid w:val="00BD14BF"/>
    <w:rsid w:val="00BD35BC"/>
    <w:rsid w:val="00BD4B20"/>
    <w:rsid w:val="00BD61DC"/>
    <w:rsid w:val="00BD66FA"/>
    <w:rsid w:val="00BD78B2"/>
    <w:rsid w:val="00BE15D2"/>
    <w:rsid w:val="00BE7315"/>
    <w:rsid w:val="00BF1431"/>
    <w:rsid w:val="00BF22DD"/>
    <w:rsid w:val="00BF545E"/>
    <w:rsid w:val="00C00B7E"/>
    <w:rsid w:val="00C02FC7"/>
    <w:rsid w:val="00C050AB"/>
    <w:rsid w:val="00C05691"/>
    <w:rsid w:val="00C12280"/>
    <w:rsid w:val="00C14AC0"/>
    <w:rsid w:val="00C15929"/>
    <w:rsid w:val="00C22520"/>
    <w:rsid w:val="00C22A7B"/>
    <w:rsid w:val="00C22EA8"/>
    <w:rsid w:val="00C2653F"/>
    <w:rsid w:val="00C31BD7"/>
    <w:rsid w:val="00C34AD6"/>
    <w:rsid w:val="00C37DF8"/>
    <w:rsid w:val="00C40A62"/>
    <w:rsid w:val="00C42637"/>
    <w:rsid w:val="00C443BF"/>
    <w:rsid w:val="00C46C27"/>
    <w:rsid w:val="00C50C3E"/>
    <w:rsid w:val="00C542FD"/>
    <w:rsid w:val="00C56FCA"/>
    <w:rsid w:val="00C60862"/>
    <w:rsid w:val="00C6099C"/>
    <w:rsid w:val="00C62522"/>
    <w:rsid w:val="00C62FCD"/>
    <w:rsid w:val="00C65A37"/>
    <w:rsid w:val="00C67296"/>
    <w:rsid w:val="00C70CF3"/>
    <w:rsid w:val="00C7118F"/>
    <w:rsid w:val="00C729F6"/>
    <w:rsid w:val="00C745B1"/>
    <w:rsid w:val="00C75AB9"/>
    <w:rsid w:val="00C762EB"/>
    <w:rsid w:val="00C76B95"/>
    <w:rsid w:val="00C80C85"/>
    <w:rsid w:val="00C870A2"/>
    <w:rsid w:val="00C87750"/>
    <w:rsid w:val="00C87AAC"/>
    <w:rsid w:val="00C921ED"/>
    <w:rsid w:val="00C94E15"/>
    <w:rsid w:val="00C95817"/>
    <w:rsid w:val="00CA09DD"/>
    <w:rsid w:val="00CA16AC"/>
    <w:rsid w:val="00CA20C6"/>
    <w:rsid w:val="00CA46D2"/>
    <w:rsid w:val="00CA4FB8"/>
    <w:rsid w:val="00CA5085"/>
    <w:rsid w:val="00CB398F"/>
    <w:rsid w:val="00CB3B70"/>
    <w:rsid w:val="00CB4839"/>
    <w:rsid w:val="00CB4AAE"/>
    <w:rsid w:val="00CC2588"/>
    <w:rsid w:val="00CC7DF3"/>
    <w:rsid w:val="00CD1DD1"/>
    <w:rsid w:val="00CD7CD8"/>
    <w:rsid w:val="00CE043F"/>
    <w:rsid w:val="00CF0114"/>
    <w:rsid w:val="00CF12DD"/>
    <w:rsid w:val="00CF3BC8"/>
    <w:rsid w:val="00CF4421"/>
    <w:rsid w:val="00CF46BC"/>
    <w:rsid w:val="00CF6FCB"/>
    <w:rsid w:val="00CF7400"/>
    <w:rsid w:val="00D005D5"/>
    <w:rsid w:val="00D017F2"/>
    <w:rsid w:val="00D019F1"/>
    <w:rsid w:val="00D02CB1"/>
    <w:rsid w:val="00D038AB"/>
    <w:rsid w:val="00D04C2F"/>
    <w:rsid w:val="00D0635C"/>
    <w:rsid w:val="00D111B3"/>
    <w:rsid w:val="00D1128E"/>
    <w:rsid w:val="00D1203D"/>
    <w:rsid w:val="00D134A1"/>
    <w:rsid w:val="00D145A0"/>
    <w:rsid w:val="00D15F92"/>
    <w:rsid w:val="00D168FD"/>
    <w:rsid w:val="00D17D03"/>
    <w:rsid w:val="00D24B5A"/>
    <w:rsid w:val="00D26202"/>
    <w:rsid w:val="00D27184"/>
    <w:rsid w:val="00D357E0"/>
    <w:rsid w:val="00D36E80"/>
    <w:rsid w:val="00D37AF2"/>
    <w:rsid w:val="00D5161D"/>
    <w:rsid w:val="00D522B4"/>
    <w:rsid w:val="00D556DB"/>
    <w:rsid w:val="00D558A1"/>
    <w:rsid w:val="00D6231D"/>
    <w:rsid w:val="00D6603C"/>
    <w:rsid w:val="00D67693"/>
    <w:rsid w:val="00D7231E"/>
    <w:rsid w:val="00D73A46"/>
    <w:rsid w:val="00D7742B"/>
    <w:rsid w:val="00D779D4"/>
    <w:rsid w:val="00D850E4"/>
    <w:rsid w:val="00D85E05"/>
    <w:rsid w:val="00D87EA0"/>
    <w:rsid w:val="00D92BD4"/>
    <w:rsid w:val="00D9391A"/>
    <w:rsid w:val="00D94331"/>
    <w:rsid w:val="00DA2545"/>
    <w:rsid w:val="00DA4167"/>
    <w:rsid w:val="00DA551C"/>
    <w:rsid w:val="00DB0271"/>
    <w:rsid w:val="00DB0415"/>
    <w:rsid w:val="00DB0D44"/>
    <w:rsid w:val="00DB1C4B"/>
    <w:rsid w:val="00DB25B5"/>
    <w:rsid w:val="00DB34A5"/>
    <w:rsid w:val="00DC1793"/>
    <w:rsid w:val="00DC1D7B"/>
    <w:rsid w:val="00DC5494"/>
    <w:rsid w:val="00DC6EAD"/>
    <w:rsid w:val="00DD1E42"/>
    <w:rsid w:val="00DD24F6"/>
    <w:rsid w:val="00DE1CA6"/>
    <w:rsid w:val="00DE31FF"/>
    <w:rsid w:val="00DE5B54"/>
    <w:rsid w:val="00DE7431"/>
    <w:rsid w:val="00DF20E5"/>
    <w:rsid w:val="00DF40DE"/>
    <w:rsid w:val="00DF4845"/>
    <w:rsid w:val="00DF4955"/>
    <w:rsid w:val="00E05E13"/>
    <w:rsid w:val="00E07C46"/>
    <w:rsid w:val="00E14295"/>
    <w:rsid w:val="00E21964"/>
    <w:rsid w:val="00E25473"/>
    <w:rsid w:val="00E25CB6"/>
    <w:rsid w:val="00E2783B"/>
    <w:rsid w:val="00E34EC9"/>
    <w:rsid w:val="00E37606"/>
    <w:rsid w:val="00E407C1"/>
    <w:rsid w:val="00E42A69"/>
    <w:rsid w:val="00E437E1"/>
    <w:rsid w:val="00E43D31"/>
    <w:rsid w:val="00E459C9"/>
    <w:rsid w:val="00E45C4B"/>
    <w:rsid w:val="00E544A8"/>
    <w:rsid w:val="00E63A1D"/>
    <w:rsid w:val="00E6401E"/>
    <w:rsid w:val="00E64ADF"/>
    <w:rsid w:val="00E707B7"/>
    <w:rsid w:val="00E7142E"/>
    <w:rsid w:val="00E71A6A"/>
    <w:rsid w:val="00E7298F"/>
    <w:rsid w:val="00E76A8B"/>
    <w:rsid w:val="00E76F0D"/>
    <w:rsid w:val="00E808BE"/>
    <w:rsid w:val="00E81445"/>
    <w:rsid w:val="00E82A40"/>
    <w:rsid w:val="00E85DAF"/>
    <w:rsid w:val="00E90946"/>
    <w:rsid w:val="00E93323"/>
    <w:rsid w:val="00E97136"/>
    <w:rsid w:val="00EA3892"/>
    <w:rsid w:val="00EA399E"/>
    <w:rsid w:val="00EA45A5"/>
    <w:rsid w:val="00EA71EC"/>
    <w:rsid w:val="00EA7538"/>
    <w:rsid w:val="00EB7BCD"/>
    <w:rsid w:val="00EC233C"/>
    <w:rsid w:val="00EC3E99"/>
    <w:rsid w:val="00EC71C9"/>
    <w:rsid w:val="00ED0FB5"/>
    <w:rsid w:val="00ED3224"/>
    <w:rsid w:val="00ED385B"/>
    <w:rsid w:val="00ED3C25"/>
    <w:rsid w:val="00ED54CB"/>
    <w:rsid w:val="00ED738A"/>
    <w:rsid w:val="00ED7566"/>
    <w:rsid w:val="00EE4762"/>
    <w:rsid w:val="00EE4E6C"/>
    <w:rsid w:val="00EE7EAB"/>
    <w:rsid w:val="00EF1FDF"/>
    <w:rsid w:val="00EF25AC"/>
    <w:rsid w:val="00EF54BB"/>
    <w:rsid w:val="00EF617F"/>
    <w:rsid w:val="00EF74E3"/>
    <w:rsid w:val="00F030F1"/>
    <w:rsid w:val="00F04202"/>
    <w:rsid w:val="00F062ED"/>
    <w:rsid w:val="00F222CD"/>
    <w:rsid w:val="00F236BE"/>
    <w:rsid w:val="00F273D7"/>
    <w:rsid w:val="00F30C05"/>
    <w:rsid w:val="00F35063"/>
    <w:rsid w:val="00F35989"/>
    <w:rsid w:val="00F406E6"/>
    <w:rsid w:val="00F42903"/>
    <w:rsid w:val="00F4379B"/>
    <w:rsid w:val="00F44B7A"/>
    <w:rsid w:val="00F50319"/>
    <w:rsid w:val="00F51502"/>
    <w:rsid w:val="00F51E5D"/>
    <w:rsid w:val="00F53797"/>
    <w:rsid w:val="00F559FB"/>
    <w:rsid w:val="00F62545"/>
    <w:rsid w:val="00F62FBD"/>
    <w:rsid w:val="00F6520E"/>
    <w:rsid w:val="00F671E9"/>
    <w:rsid w:val="00F676D7"/>
    <w:rsid w:val="00F70631"/>
    <w:rsid w:val="00F819DB"/>
    <w:rsid w:val="00F82C55"/>
    <w:rsid w:val="00F83B7F"/>
    <w:rsid w:val="00F866EC"/>
    <w:rsid w:val="00F90F7B"/>
    <w:rsid w:val="00F94F2C"/>
    <w:rsid w:val="00FA0A6E"/>
    <w:rsid w:val="00FA13A0"/>
    <w:rsid w:val="00FA16ED"/>
    <w:rsid w:val="00FA3076"/>
    <w:rsid w:val="00FA465F"/>
    <w:rsid w:val="00FA6C78"/>
    <w:rsid w:val="00FA778E"/>
    <w:rsid w:val="00FA78C7"/>
    <w:rsid w:val="00FB32B5"/>
    <w:rsid w:val="00FB6541"/>
    <w:rsid w:val="00FB6C6E"/>
    <w:rsid w:val="00FB750A"/>
    <w:rsid w:val="00FC23C0"/>
    <w:rsid w:val="00FC78CE"/>
    <w:rsid w:val="00FD2301"/>
    <w:rsid w:val="00FD2BB7"/>
    <w:rsid w:val="00FE0F94"/>
    <w:rsid w:val="00FE1734"/>
    <w:rsid w:val="00FE1E05"/>
    <w:rsid w:val="00FE3A8D"/>
    <w:rsid w:val="00FE3FC1"/>
    <w:rsid w:val="00FE50E6"/>
    <w:rsid w:val="00FE560A"/>
    <w:rsid w:val="00FF25E0"/>
    <w:rsid w:val="00FF70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iPriority w:val="99"/>
    <w:semiHidden/>
    <w:unhideWhenUsed/>
    <w:rsid w:val="00013AC5"/>
    <w:rPr>
      <w:sz w:val="16"/>
      <w:szCs w:val="16"/>
    </w:rPr>
  </w:style>
  <w:style w:type="paragraph" w:styleId="Textodecomentrio">
    <w:name w:val="annotation text"/>
    <w:basedOn w:val="Normal"/>
    <w:link w:val="TextodecomentrioChar"/>
    <w:uiPriority w:val="99"/>
    <w:unhideWhenUsed/>
    <w:rsid w:val="00013AC5"/>
    <w:pPr>
      <w:spacing w:line="240" w:lineRule="auto"/>
    </w:pPr>
    <w:rPr>
      <w:sz w:val="20"/>
      <w:szCs w:val="20"/>
    </w:rPr>
  </w:style>
  <w:style w:type="character" w:customStyle="1" w:styleId="TextodecomentrioChar">
    <w:name w:val="Texto de comentário Char"/>
    <w:basedOn w:val="Fontepargpadro"/>
    <w:link w:val="Textodecomentrio"/>
    <w:uiPriority w:val="99"/>
    <w:rsid w:val="00013AC5"/>
    <w:rPr>
      <w:sz w:val="20"/>
      <w:szCs w:val="20"/>
    </w:rPr>
  </w:style>
  <w:style w:type="paragraph" w:styleId="Assuntodocomentrio">
    <w:name w:val="annotation subject"/>
    <w:basedOn w:val="Textodecomentrio"/>
    <w:next w:val="Textodecomentrio"/>
    <w:link w:val="AssuntodocomentrioChar"/>
    <w:uiPriority w:val="99"/>
    <w:semiHidden/>
    <w:unhideWhenUsed/>
    <w:rsid w:val="00013AC5"/>
    <w:rPr>
      <w:b/>
      <w:bCs/>
    </w:rPr>
  </w:style>
  <w:style w:type="character" w:customStyle="1" w:styleId="AssuntodocomentrioChar">
    <w:name w:val="Assunto do comentário Char"/>
    <w:basedOn w:val="TextodecomentrioChar"/>
    <w:link w:val="Assuntodocomentrio"/>
    <w:uiPriority w:val="99"/>
    <w:semiHidden/>
    <w:rsid w:val="00013AC5"/>
    <w:rPr>
      <w:b/>
      <w:bCs/>
      <w:sz w:val="20"/>
      <w:szCs w:val="20"/>
    </w:rPr>
  </w:style>
  <w:style w:type="paragraph" w:styleId="Textodebalo">
    <w:name w:val="Balloon Text"/>
    <w:basedOn w:val="Normal"/>
    <w:link w:val="TextodebaloChar"/>
    <w:uiPriority w:val="99"/>
    <w:semiHidden/>
    <w:unhideWhenUsed/>
    <w:rsid w:val="00013AC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13AC5"/>
    <w:rPr>
      <w:rFonts w:ascii="Tahoma" w:hAnsi="Tahoma" w:cs="Tahoma"/>
      <w:sz w:val="16"/>
      <w:szCs w:val="16"/>
    </w:rPr>
  </w:style>
  <w:style w:type="paragraph" w:customStyle="1" w:styleId="Default">
    <w:name w:val="Default"/>
    <w:rsid w:val="00040FA4"/>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34"/>
    <w:qFormat/>
    <w:rsid w:val="00437135"/>
    <w:pPr>
      <w:ind w:left="720"/>
      <w:contextualSpacing/>
    </w:pPr>
  </w:style>
  <w:style w:type="paragraph" w:styleId="Reviso">
    <w:name w:val="Revision"/>
    <w:hidden/>
    <w:uiPriority w:val="99"/>
    <w:semiHidden/>
    <w:rsid w:val="006435A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iPriority w:val="99"/>
    <w:semiHidden/>
    <w:unhideWhenUsed/>
    <w:rsid w:val="00013AC5"/>
    <w:rPr>
      <w:sz w:val="16"/>
      <w:szCs w:val="16"/>
    </w:rPr>
  </w:style>
  <w:style w:type="paragraph" w:styleId="Textodecomentrio">
    <w:name w:val="annotation text"/>
    <w:basedOn w:val="Normal"/>
    <w:link w:val="TextodecomentrioChar"/>
    <w:uiPriority w:val="99"/>
    <w:unhideWhenUsed/>
    <w:rsid w:val="00013AC5"/>
    <w:pPr>
      <w:spacing w:line="240" w:lineRule="auto"/>
    </w:pPr>
    <w:rPr>
      <w:sz w:val="20"/>
      <w:szCs w:val="20"/>
    </w:rPr>
  </w:style>
  <w:style w:type="character" w:customStyle="1" w:styleId="TextodecomentrioChar">
    <w:name w:val="Texto de comentário Char"/>
    <w:basedOn w:val="Fontepargpadro"/>
    <w:link w:val="Textodecomentrio"/>
    <w:uiPriority w:val="99"/>
    <w:rsid w:val="00013AC5"/>
    <w:rPr>
      <w:sz w:val="20"/>
      <w:szCs w:val="20"/>
    </w:rPr>
  </w:style>
  <w:style w:type="paragraph" w:styleId="Assuntodocomentrio">
    <w:name w:val="annotation subject"/>
    <w:basedOn w:val="Textodecomentrio"/>
    <w:next w:val="Textodecomentrio"/>
    <w:link w:val="AssuntodocomentrioChar"/>
    <w:uiPriority w:val="99"/>
    <w:semiHidden/>
    <w:unhideWhenUsed/>
    <w:rsid w:val="00013AC5"/>
    <w:rPr>
      <w:b/>
      <w:bCs/>
    </w:rPr>
  </w:style>
  <w:style w:type="character" w:customStyle="1" w:styleId="AssuntodocomentrioChar">
    <w:name w:val="Assunto do comentário Char"/>
    <w:basedOn w:val="TextodecomentrioChar"/>
    <w:link w:val="Assuntodocomentrio"/>
    <w:uiPriority w:val="99"/>
    <w:semiHidden/>
    <w:rsid w:val="00013AC5"/>
    <w:rPr>
      <w:b/>
      <w:bCs/>
      <w:sz w:val="20"/>
      <w:szCs w:val="20"/>
    </w:rPr>
  </w:style>
  <w:style w:type="paragraph" w:styleId="Textodebalo">
    <w:name w:val="Balloon Text"/>
    <w:basedOn w:val="Normal"/>
    <w:link w:val="TextodebaloChar"/>
    <w:uiPriority w:val="99"/>
    <w:semiHidden/>
    <w:unhideWhenUsed/>
    <w:rsid w:val="00013AC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13AC5"/>
    <w:rPr>
      <w:rFonts w:ascii="Tahoma" w:hAnsi="Tahoma" w:cs="Tahoma"/>
      <w:sz w:val="16"/>
      <w:szCs w:val="16"/>
    </w:rPr>
  </w:style>
  <w:style w:type="paragraph" w:customStyle="1" w:styleId="Default">
    <w:name w:val="Default"/>
    <w:rsid w:val="00040FA4"/>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34"/>
    <w:qFormat/>
    <w:rsid w:val="00437135"/>
    <w:pPr>
      <w:ind w:left="720"/>
      <w:contextualSpacing/>
    </w:pPr>
  </w:style>
  <w:style w:type="paragraph" w:styleId="Reviso">
    <w:name w:val="Revision"/>
    <w:hidden/>
    <w:uiPriority w:val="99"/>
    <w:semiHidden/>
    <w:rsid w:val="006435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351892">
      <w:bodyDiv w:val="1"/>
      <w:marLeft w:val="0"/>
      <w:marRight w:val="0"/>
      <w:marTop w:val="0"/>
      <w:marBottom w:val="0"/>
      <w:divBdr>
        <w:top w:val="none" w:sz="0" w:space="0" w:color="auto"/>
        <w:left w:val="none" w:sz="0" w:space="0" w:color="auto"/>
        <w:bottom w:val="none" w:sz="0" w:space="0" w:color="auto"/>
        <w:right w:val="none" w:sz="0" w:space="0" w:color="auto"/>
      </w:divBdr>
    </w:div>
    <w:div w:id="1289169444">
      <w:bodyDiv w:val="1"/>
      <w:marLeft w:val="0"/>
      <w:marRight w:val="0"/>
      <w:marTop w:val="0"/>
      <w:marBottom w:val="0"/>
      <w:divBdr>
        <w:top w:val="none" w:sz="0" w:space="0" w:color="auto"/>
        <w:left w:val="none" w:sz="0" w:space="0" w:color="auto"/>
        <w:bottom w:val="none" w:sz="0" w:space="0" w:color="auto"/>
        <w:right w:val="none" w:sz="0" w:space="0" w:color="auto"/>
      </w:divBdr>
    </w:div>
    <w:div w:id="159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EE16E-BACD-4707-823D-D0333CCC9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2744</Words>
  <Characters>14819</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Barretti</dc:creator>
  <cp:lastModifiedBy>Ariane Coelho Donatti</cp:lastModifiedBy>
  <cp:revision>4</cp:revision>
  <dcterms:created xsi:type="dcterms:W3CDTF">2016-11-17T13:39:00Z</dcterms:created>
  <dcterms:modified xsi:type="dcterms:W3CDTF">2016-11-17T16:36:00Z</dcterms:modified>
</cp:coreProperties>
</file>